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8DB99" w14:textId="1C012EEF" w:rsidR="0021217F" w:rsidRDefault="00C6641A" w:rsidP="00745DBD">
      <w:pPr>
        <w:rPr>
          <w:rFonts w:ascii="Arial" w:hAnsi="Arial" w:cs="Arial"/>
          <w:sz w:val="21"/>
          <w:szCs w:val="21"/>
        </w:rPr>
      </w:pPr>
      <w:r>
        <w:rPr>
          <w:rFonts w:ascii="Arial" w:hAnsi="Arial" w:cs="Arial"/>
          <w:sz w:val="21"/>
          <w:szCs w:val="21"/>
        </w:rPr>
        <w:t>May 29, 2026</w:t>
      </w:r>
    </w:p>
    <w:p w14:paraId="5C4BC4E4" w14:textId="77777777" w:rsidR="00931613" w:rsidRPr="00931613" w:rsidRDefault="00931613" w:rsidP="00745DBD">
      <w:pPr>
        <w:rPr>
          <w:rFonts w:ascii="Arial" w:hAnsi="Arial" w:cs="Arial"/>
          <w:sz w:val="21"/>
          <w:szCs w:val="21"/>
        </w:rPr>
      </w:pPr>
    </w:p>
    <w:p w14:paraId="6C56E464" w14:textId="77777777" w:rsidR="005B63E2" w:rsidRPr="00931613" w:rsidRDefault="005B63E2" w:rsidP="00745DBD">
      <w:pPr>
        <w:rPr>
          <w:rFonts w:ascii="Arial" w:hAnsi="Arial" w:cs="Arial"/>
          <w:sz w:val="21"/>
          <w:szCs w:val="21"/>
        </w:rPr>
      </w:pPr>
    </w:p>
    <w:p w14:paraId="749316C5" w14:textId="2D6A04C7" w:rsidR="000A3403" w:rsidRPr="00931613" w:rsidRDefault="00EC26BE" w:rsidP="00FF558C">
      <w:pPr>
        <w:rPr>
          <w:rFonts w:ascii="Arial" w:hAnsi="Arial" w:cs="Arial"/>
          <w:sz w:val="21"/>
          <w:szCs w:val="21"/>
        </w:rPr>
      </w:pPr>
      <w:r w:rsidRPr="00931613">
        <w:rPr>
          <w:rFonts w:ascii="Arial" w:hAnsi="Arial" w:cs="Arial"/>
          <w:sz w:val="21"/>
          <w:szCs w:val="21"/>
        </w:rPr>
        <w:t>Human Rights Tribunal of Ontario</w:t>
      </w:r>
    </w:p>
    <w:p w14:paraId="2E1D3231" w14:textId="77777777" w:rsidR="00450EAE" w:rsidRPr="00931613" w:rsidRDefault="00450EAE" w:rsidP="00FF558C">
      <w:pPr>
        <w:rPr>
          <w:rFonts w:ascii="Arial" w:hAnsi="Arial" w:cs="Arial"/>
          <w:sz w:val="21"/>
          <w:szCs w:val="21"/>
        </w:rPr>
      </w:pPr>
      <w:r w:rsidRPr="00931613">
        <w:rPr>
          <w:rFonts w:ascii="Arial" w:hAnsi="Arial" w:cs="Arial"/>
          <w:sz w:val="21"/>
          <w:szCs w:val="21"/>
        </w:rPr>
        <w:t>15 Grosvenor Street, Ground Floor</w:t>
      </w:r>
    </w:p>
    <w:p w14:paraId="2D7C1E06" w14:textId="311B43BD" w:rsidR="00EC26BE" w:rsidRPr="00931613" w:rsidRDefault="00450EAE" w:rsidP="00FF558C">
      <w:pPr>
        <w:rPr>
          <w:rFonts w:ascii="Arial" w:hAnsi="Arial" w:cs="Arial"/>
          <w:sz w:val="21"/>
          <w:szCs w:val="21"/>
        </w:rPr>
      </w:pPr>
      <w:r w:rsidRPr="00931613">
        <w:rPr>
          <w:rFonts w:ascii="Arial" w:hAnsi="Arial" w:cs="Arial"/>
          <w:sz w:val="21"/>
          <w:szCs w:val="21"/>
        </w:rPr>
        <w:t>Toronto, ON  M7A 2G6</w:t>
      </w:r>
    </w:p>
    <w:p w14:paraId="5AA2E359" w14:textId="77777777" w:rsidR="00EE5450" w:rsidRPr="00931613" w:rsidRDefault="00EE5450" w:rsidP="00FF558C">
      <w:pPr>
        <w:rPr>
          <w:rFonts w:ascii="Arial" w:hAnsi="Arial" w:cs="Arial"/>
          <w:i/>
          <w:iCs/>
          <w:sz w:val="21"/>
          <w:szCs w:val="21"/>
        </w:rPr>
      </w:pPr>
    </w:p>
    <w:p w14:paraId="35F8BE1A" w14:textId="53B43F02" w:rsidR="00EE5450" w:rsidRPr="00931613" w:rsidRDefault="00447190" w:rsidP="00FF558C">
      <w:pPr>
        <w:rPr>
          <w:rFonts w:ascii="Arial" w:hAnsi="Arial" w:cs="Arial"/>
          <w:i/>
          <w:iCs/>
          <w:sz w:val="21"/>
          <w:szCs w:val="21"/>
        </w:rPr>
      </w:pPr>
      <w:r w:rsidRPr="00931613">
        <w:rPr>
          <w:rFonts w:ascii="Arial" w:hAnsi="Arial" w:cs="Arial"/>
          <w:i/>
          <w:iCs/>
          <w:sz w:val="21"/>
          <w:szCs w:val="21"/>
        </w:rPr>
        <w:t>Via Email</w:t>
      </w:r>
      <w:r w:rsidR="00E829B8" w:rsidRPr="00931613">
        <w:rPr>
          <w:rFonts w:ascii="Arial" w:hAnsi="Arial" w:cs="Arial"/>
          <w:i/>
          <w:iCs/>
          <w:sz w:val="21"/>
          <w:szCs w:val="21"/>
        </w:rPr>
        <w:t xml:space="preserve"> </w:t>
      </w:r>
      <w:r w:rsidRPr="00931613">
        <w:rPr>
          <w:rFonts w:ascii="Arial" w:hAnsi="Arial" w:cs="Arial"/>
          <w:i/>
          <w:iCs/>
          <w:sz w:val="21"/>
          <w:szCs w:val="21"/>
        </w:rPr>
        <w:t>(</w:t>
      </w:r>
      <w:r w:rsidR="00EC26BE" w:rsidRPr="00931613">
        <w:rPr>
          <w:rFonts w:ascii="Arial" w:hAnsi="Arial" w:cs="Arial"/>
          <w:i/>
          <w:iCs/>
          <w:sz w:val="21"/>
          <w:szCs w:val="21"/>
        </w:rPr>
        <w:t>HRTO.registrar@ontario.ca</w:t>
      </w:r>
      <w:r w:rsidRPr="00931613">
        <w:rPr>
          <w:rFonts w:ascii="Arial" w:hAnsi="Arial" w:cs="Arial"/>
          <w:i/>
          <w:iCs/>
          <w:sz w:val="21"/>
          <w:szCs w:val="21"/>
        </w:rPr>
        <w:t>)</w:t>
      </w:r>
    </w:p>
    <w:p w14:paraId="22A1AD16" w14:textId="77777777" w:rsidR="00E97CBF" w:rsidRPr="00931613" w:rsidRDefault="00E97CBF" w:rsidP="00FF558C">
      <w:pPr>
        <w:rPr>
          <w:rFonts w:ascii="Arial" w:hAnsi="Arial" w:cs="Arial"/>
          <w:sz w:val="21"/>
          <w:szCs w:val="21"/>
        </w:rPr>
      </w:pPr>
    </w:p>
    <w:p w14:paraId="185D114C" w14:textId="77777777" w:rsidR="00931613" w:rsidRPr="00931613" w:rsidRDefault="00931613" w:rsidP="00FF558C">
      <w:pPr>
        <w:rPr>
          <w:rFonts w:ascii="Arial" w:hAnsi="Arial" w:cs="Arial"/>
          <w:sz w:val="21"/>
          <w:szCs w:val="21"/>
        </w:rPr>
      </w:pPr>
    </w:p>
    <w:p w14:paraId="711EBD81" w14:textId="6155A49B" w:rsidR="00EE5450" w:rsidRPr="00931613" w:rsidRDefault="000A3403" w:rsidP="00FF558C">
      <w:pPr>
        <w:rPr>
          <w:rFonts w:ascii="Arial" w:hAnsi="Arial" w:cs="Arial"/>
          <w:sz w:val="21"/>
          <w:szCs w:val="21"/>
        </w:rPr>
      </w:pPr>
      <w:r w:rsidRPr="00931613">
        <w:rPr>
          <w:rFonts w:ascii="Arial" w:hAnsi="Arial" w:cs="Arial"/>
          <w:sz w:val="21"/>
          <w:szCs w:val="21"/>
        </w:rPr>
        <w:t>To Whom It May Concern</w:t>
      </w:r>
      <w:r w:rsidR="00447190" w:rsidRPr="00931613">
        <w:rPr>
          <w:rFonts w:ascii="Arial" w:hAnsi="Arial" w:cs="Arial"/>
          <w:sz w:val="21"/>
          <w:szCs w:val="21"/>
        </w:rPr>
        <w:t>:</w:t>
      </w:r>
    </w:p>
    <w:p w14:paraId="4358EC88" w14:textId="77777777" w:rsidR="00447190" w:rsidRPr="00931613" w:rsidRDefault="00447190" w:rsidP="00FF558C">
      <w:pPr>
        <w:rPr>
          <w:rFonts w:ascii="Arial" w:hAnsi="Arial" w:cs="Arial"/>
          <w:sz w:val="21"/>
          <w:szCs w:val="21"/>
        </w:rPr>
      </w:pPr>
    </w:p>
    <w:p w14:paraId="4577022F" w14:textId="7F59093A" w:rsidR="00447190" w:rsidRPr="00931613" w:rsidRDefault="00447190" w:rsidP="000A3403">
      <w:pPr>
        <w:ind w:left="720" w:hanging="720"/>
        <w:rPr>
          <w:rFonts w:ascii="Arial" w:hAnsi="Arial" w:cs="Arial"/>
          <w:b/>
          <w:bCs/>
          <w:sz w:val="21"/>
          <w:szCs w:val="21"/>
        </w:rPr>
      </w:pPr>
      <w:r w:rsidRPr="00931613">
        <w:rPr>
          <w:rFonts w:ascii="Arial" w:hAnsi="Arial" w:cs="Arial"/>
          <w:b/>
          <w:bCs/>
          <w:sz w:val="21"/>
          <w:szCs w:val="21"/>
        </w:rPr>
        <w:t>Re:</w:t>
      </w:r>
      <w:r w:rsidRPr="00931613">
        <w:rPr>
          <w:rFonts w:ascii="Arial" w:hAnsi="Arial" w:cs="Arial"/>
          <w:b/>
          <w:bCs/>
          <w:sz w:val="21"/>
          <w:szCs w:val="21"/>
        </w:rPr>
        <w:tab/>
      </w:r>
      <w:r w:rsidR="00EC26BE" w:rsidRPr="00931613">
        <w:rPr>
          <w:rFonts w:ascii="Arial" w:hAnsi="Arial" w:cs="Arial"/>
          <w:b/>
          <w:bCs/>
          <w:sz w:val="21"/>
          <w:szCs w:val="21"/>
        </w:rPr>
        <w:t>Response to HRTO Consultation</w:t>
      </w:r>
    </w:p>
    <w:p w14:paraId="019BAAAE" w14:textId="77777777" w:rsidR="00EE5450" w:rsidRDefault="00EE5450" w:rsidP="00FF558C">
      <w:pPr>
        <w:rPr>
          <w:rFonts w:ascii="Arial" w:hAnsi="Arial" w:cs="Arial"/>
          <w:sz w:val="21"/>
          <w:szCs w:val="21"/>
        </w:rPr>
      </w:pPr>
    </w:p>
    <w:p w14:paraId="1C33241D" w14:textId="4DE0D2B5" w:rsidR="003A61D3" w:rsidRPr="00931613" w:rsidRDefault="000A3403" w:rsidP="0037669D">
      <w:pPr>
        <w:rPr>
          <w:rFonts w:ascii="Arial" w:hAnsi="Arial" w:cs="Arial"/>
          <w:sz w:val="21"/>
          <w:szCs w:val="21"/>
        </w:rPr>
      </w:pPr>
      <w:r w:rsidRPr="00931613">
        <w:rPr>
          <w:rFonts w:ascii="Arial" w:hAnsi="Arial" w:cs="Arial"/>
          <w:sz w:val="21"/>
          <w:szCs w:val="21"/>
        </w:rPr>
        <w:t>The Federation of Ontario Law Associations [“</w:t>
      </w:r>
      <w:r w:rsidRPr="00931613">
        <w:rPr>
          <w:rFonts w:ascii="Arial" w:hAnsi="Arial" w:cs="Arial"/>
          <w:b/>
          <w:bCs/>
          <w:sz w:val="21"/>
          <w:szCs w:val="21"/>
        </w:rPr>
        <w:t>FOLA</w:t>
      </w:r>
      <w:r w:rsidRPr="00931613">
        <w:rPr>
          <w:rFonts w:ascii="Arial" w:hAnsi="Arial" w:cs="Arial"/>
          <w:sz w:val="21"/>
          <w:szCs w:val="21"/>
        </w:rPr>
        <w:t xml:space="preserve">”] </w:t>
      </w:r>
      <w:r w:rsidR="003A61D3" w:rsidRPr="00931613">
        <w:rPr>
          <w:rFonts w:ascii="Arial" w:hAnsi="Arial" w:cs="Arial"/>
          <w:sz w:val="21"/>
          <w:szCs w:val="21"/>
        </w:rPr>
        <w:t xml:space="preserve">is pleased to provide this response to the </w:t>
      </w:r>
      <w:r w:rsidR="00C6641A">
        <w:rPr>
          <w:rFonts w:ascii="Arial" w:hAnsi="Arial" w:cs="Arial"/>
          <w:sz w:val="21"/>
          <w:szCs w:val="21"/>
        </w:rPr>
        <w:t xml:space="preserve">May 13, 2026 </w:t>
      </w:r>
      <w:r w:rsidR="00450EAE" w:rsidRPr="00931613">
        <w:rPr>
          <w:rFonts w:ascii="Arial" w:hAnsi="Arial" w:cs="Arial"/>
          <w:sz w:val="21"/>
          <w:szCs w:val="21"/>
        </w:rPr>
        <w:t xml:space="preserve">Human Rights Tribunal of Ontario </w:t>
      </w:r>
      <w:r w:rsidR="00F23434" w:rsidRPr="00931613">
        <w:rPr>
          <w:rFonts w:ascii="Arial" w:hAnsi="Arial" w:cs="Arial"/>
          <w:sz w:val="21"/>
          <w:szCs w:val="21"/>
        </w:rPr>
        <w:t>[“</w:t>
      </w:r>
      <w:r w:rsidR="00450EAE" w:rsidRPr="00931613">
        <w:rPr>
          <w:rFonts w:ascii="Arial" w:hAnsi="Arial" w:cs="Arial"/>
          <w:b/>
          <w:bCs/>
          <w:sz w:val="21"/>
          <w:szCs w:val="21"/>
        </w:rPr>
        <w:t>HRTO</w:t>
      </w:r>
      <w:r w:rsidR="00F23434" w:rsidRPr="00931613">
        <w:rPr>
          <w:rFonts w:ascii="Arial" w:hAnsi="Arial" w:cs="Arial"/>
          <w:sz w:val="21"/>
          <w:szCs w:val="21"/>
        </w:rPr>
        <w:t>”]</w:t>
      </w:r>
      <w:r w:rsidR="003A61D3" w:rsidRPr="00931613">
        <w:rPr>
          <w:rFonts w:ascii="Arial" w:hAnsi="Arial" w:cs="Arial"/>
          <w:sz w:val="21"/>
          <w:szCs w:val="21"/>
        </w:rPr>
        <w:t xml:space="preserve"> consultation relating to</w:t>
      </w:r>
      <w:r w:rsidR="009915B1" w:rsidRPr="00931613">
        <w:rPr>
          <w:rFonts w:ascii="Arial" w:hAnsi="Arial" w:cs="Arial"/>
          <w:sz w:val="21"/>
          <w:szCs w:val="21"/>
        </w:rPr>
        <w:t xml:space="preserve"> the proposed</w:t>
      </w:r>
      <w:r w:rsidR="003A61D3" w:rsidRPr="00931613">
        <w:rPr>
          <w:rFonts w:ascii="Arial" w:hAnsi="Arial" w:cs="Arial"/>
          <w:sz w:val="21"/>
          <w:szCs w:val="21"/>
        </w:rPr>
        <w:t xml:space="preserve"> </w:t>
      </w:r>
      <w:r w:rsidR="00450EAE" w:rsidRPr="00931613">
        <w:rPr>
          <w:rFonts w:ascii="Arial" w:hAnsi="Arial" w:cs="Arial"/>
          <w:sz w:val="21"/>
          <w:szCs w:val="21"/>
        </w:rPr>
        <w:t xml:space="preserve">reforms to its </w:t>
      </w:r>
      <w:r w:rsidR="0093312E" w:rsidRPr="00931613">
        <w:rPr>
          <w:rFonts w:ascii="Arial" w:hAnsi="Arial" w:cs="Arial"/>
          <w:i/>
          <w:iCs/>
          <w:sz w:val="21"/>
          <w:szCs w:val="21"/>
        </w:rPr>
        <w:t>R</w:t>
      </w:r>
      <w:r w:rsidR="00450EAE" w:rsidRPr="00931613">
        <w:rPr>
          <w:rFonts w:ascii="Arial" w:hAnsi="Arial" w:cs="Arial"/>
          <w:i/>
          <w:iCs/>
          <w:sz w:val="21"/>
          <w:szCs w:val="21"/>
        </w:rPr>
        <w:t xml:space="preserve">ules of </w:t>
      </w:r>
      <w:r w:rsidR="0093312E" w:rsidRPr="00931613">
        <w:rPr>
          <w:rFonts w:ascii="Arial" w:hAnsi="Arial" w:cs="Arial"/>
          <w:i/>
          <w:iCs/>
          <w:sz w:val="21"/>
          <w:szCs w:val="21"/>
        </w:rPr>
        <w:t>P</w:t>
      </w:r>
      <w:r w:rsidR="00450EAE" w:rsidRPr="00931613">
        <w:rPr>
          <w:rFonts w:ascii="Arial" w:hAnsi="Arial" w:cs="Arial"/>
          <w:i/>
          <w:iCs/>
          <w:sz w:val="21"/>
          <w:szCs w:val="21"/>
        </w:rPr>
        <w:t>rocedure</w:t>
      </w:r>
      <w:r w:rsidR="0093312E" w:rsidRPr="00931613">
        <w:rPr>
          <w:rFonts w:ascii="Arial" w:hAnsi="Arial" w:cs="Arial"/>
          <w:sz w:val="21"/>
          <w:szCs w:val="21"/>
        </w:rPr>
        <w:t xml:space="preserve"> [“</w:t>
      </w:r>
      <w:r w:rsidR="0093312E" w:rsidRPr="00931613">
        <w:rPr>
          <w:rFonts w:ascii="Arial" w:hAnsi="Arial" w:cs="Arial"/>
          <w:b/>
          <w:bCs/>
          <w:i/>
          <w:iCs/>
          <w:sz w:val="21"/>
          <w:szCs w:val="21"/>
        </w:rPr>
        <w:t>Rules</w:t>
      </w:r>
      <w:r w:rsidR="0093312E" w:rsidRPr="00931613">
        <w:rPr>
          <w:rFonts w:ascii="Arial" w:hAnsi="Arial" w:cs="Arial"/>
          <w:sz w:val="21"/>
          <w:szCs w:val="21"/>
        </w:rPr>
        <w:t>”]</w:t>
      </w:r>
      <w:r w:rsidR="00C6641A">
        <w:rPr>
          <w:rFonts w:ascii="Arial" w:hAnsi="Arial" w:cs="Arial"/>
          <w:sz w:val="21"/>
          <w:szCs w:val="21"/>
        </w:rPr>
        <w:t xml:space="preserve"> and Practice Directions</w:t>
      </w:r>
      <w:r w:rsidR="0093312E" w:rsidRPr="00931613">
        <w:rPr>
          <w:rFonts w:ascii="Arial" w:hAnsi="Arial" w:cs="Arial"/>
          <w:sz w:val="21"/>
          <w:szCs w:val="21"/>
        </w:rPr>
        <w:t>.</w:t>
      </w:r>
    </w:p>
    <w:p w14:paraId="3E50F041" w14:textId="77777777" w:rsidR="003A61D3" w:rsidRDefault="003A61D3" w:rsidP="0037669D">
      <w:pPr>
        <w:rPr>
          <w:rFonts w:ascii="Arial" w:hAnsi="Arial" w:cs="Arial"/>
          <w:sz w:val="21"/>
          <w:szCs w:val="21"/>
        </w:rPr>
      </w:pPr>
    </w:p>
    <w:p w14:paraId="418F0CBC" w14:textId="1664D6D3" w:rsidR="003C253A" w:rsidRPr="00931613" w:rsidRDefault="003C253A" w:rsidP="003C253A">
      <w:pPr>
        <w:rPr>
          <w:rFonts w:ascii="Arial" w:hAnsi="Arial" w:cs="Arial"/>
          <w:sz w:val="21"/>
          <w:szCs w:val="21"/>
        </w:rPr>
      </w:pPr>
      <w:r w:rsidRPr="00931613">
        <w:rPr>
          <w:rFonts w:ascii="Arial" w:hAnsi="Arial" w:cs="Arial"/>
          <w:sz w:val="21"/>
          <w:szCs w:val="21"/>
        </w:rPr>
        <w:t xml:space="preserve">FOLA represents Ontario’s 46 county and district law associations, and through them, their members. Our association is the only provincial legal organization representing lawyers at the front-lines of legal services in communities in all parts of the province. </w:t>
      </w:r>
      <w:r>
        <w:rPr>
          <w:rFonts w:ascii="Arial" w:hAnsi="Arial" w:cs="Arial"/>
          <w:sz w:val="21"/>
          <w:szCs w:val="21"/>
        </w:rPr>
        <w:t>W</w:t>
      </w:r>
      <w:r w:rsidRPr="00931613">
        <w:rPr>
          <w:rFonts w:ascii="Arial" w:hAnsi="Arial" w:cs="Arial"/>
          <w:sz w:val="21"/>
          <w:szCs w:val="21"/>
        </w:rPr>
        <w:t>e hope that this submission carries the weight of a significant cross-section of the bar.</w:t>
      </w:r>
    </w:p>
    <w:p w14:paraId="6BE4BF62" w14:textId="77777777" w:rsidR="003C253A" w:rsidRDefault="003C253A" w:rsidP="0037669D">
      <w:pPr>
        <w:rPr>
          <w:rFonts w:ascii="Arial" w:hAnsi="Arial" w:cs="Arial"/>
          <w:sz w:val="21"/>
          <w:szCs w:val="21"/>
        </w:rPr>
      </w:pPr>
    </w:p>
    <w:p w14:paraId="6BA2D6DA" w14:textId="046E2D14" w:rsidR="003C253A" w:rsidRDefault="00EA5039" w:rsidP="0037669D">
      <w:pPr>
        <w:rPr>
          <w:rFonts w:ascii="Arial" w:hAnsi="Arial" w:cs="Arial"/>
          <w:sz w:val="21"/>
          <w:szCs w:val="21"/>
        </w:rPr>
      </w:pPr>
      <w:r>
        <w:rPr>
          <w:rFonts w:ascii="Arial" w:hAnsi="Arial" w:cs="Arial"/>
          <w:sz w:val="21"/>
          <w:szCs w:val="21"/>
        </w:rPr>
        <w:t>W</w:t>
      </w:r>
      <w:r w:rsidR="002935A3">
        <w:rPr>
          <w:rFonts w:ascii="Arial" w:hAnsi="Arial" w:cs="Arial"/>
          <w:sz w:val="21"/>
          <w:szCs w:val="21"/>
        </w:rPr>
        <w:t xml:space="preserve">e </w:t>
      </w:r>
      <w:hyperlink r:id="rId8" w:history="1">
        <w:r w:rsidR="002935A3" w:rsidRPr="006F2375">
          <w:rPr>
            <w:rStyle w:val="Hyperlink"/>
            <w:rFonts w:ascii="Arial" w:hAnsi="Arial" w:cs="Arial"/>
            <w:sz w:val="21"/>
            <w:szCs w:val="21"/>
          </w:rPr>
          <w:t>provided feedback</w:t>
        </w:r>
      </w:hyperlink>
      <w:r w:rsidR="002935A3">
        <w:rPr>
          <w:rFonts w:ascii="Arial" w:hAnsi="Arial" w:cs="Arial"/>
          <w:sz w:val="21"/>
          <w:szCs w:val="21"/>
        </w:rPr>
        <w:t xml:space="preserve"> </w:t>
      </w:r>
      <w:r w:rsidR="006F2375">
        <w:rPr>
          <w:rFonts w:ascii="Arial" w:hAnsi="Arial" w:cs="Arial"/>
          <w:sz w:val="21"/>
          <w:szCs w:val="21"/>
        </w:rPr>
        <w:t>in the early phases of</w:t>
      </w:r>
      <w:r w:rsidR="003C253A">
        <w:rPr>
          <w:rFonts w:ascii="Arial" w:hAnsi="Arial" w:cs="Arial"/>
          <w:sz w:val="21"/>
          <w:szCs w:val="21"/>
        </w:rPr>
        <w:t xml:space="preserve"> </w:t>
      </w:r>
      <w:r w:rsidR="004D6CE8">
        <w:rPr>
          <w:rFonts w:ascii="Arial" w:hAnsi="Arial" w:cs="Arial"/>
          <w:sz w:val="21"/>
          <w:szCs w:val="21"/>
        </w:rPr>
        <w:t xml:space="preserve">Rules </w:t>
      </w:r>
      <w:r w:rsidR="003C253A">
        <w:rPr>
          <w:rFonts w:ascii="Arial" w:hAnsi="Arial" w:cs="Arial"/>
          <w:sz w:val="21"/>
          <w:szCs w:val="21"/>
        </w:rPr>
        <w:t xml:space="preserve">reform </w:t>
      </w:r>
      <w:r w:rsidR="00EE342E">
        <w:rPr>
          <w:rFonts w:ascii="Arial" w:hAnsi="Arial" w:cs="Arial"/>
          <w:sz w:val="21"/>
          <w:szCs w:val="21"/>
        </w:rPr>
        <w:t>on</w:t>
      </w:r>
      <w:r w:rsidR="002935A3">
        <w:rPr>
          <w:rFonts w:ascii="Arial" w:hAnsi="Arial" w:cs="Arial"/>
          <w:sz w:val="21"/>
          <w:szCs w:val="21"/>
        </w:rPr>
        <w:t xml:space="preserve"> November 22, 2024. </w:t>
      </w:r>
      <w:r w:rsidR="00A1351A">
        <w:rPr>
          <w:rFonts w:ascii="Arial" w:hAnsi="Arial" w:cs="Arial"/>
          <w:sz w:val="21"/>
          <w:szCs w:val="21"/>
        </w:rPr>
        <w:t xml:space="preserve">We recognize and appreciate that much of our feedback regarding improved efficiencies in </w:t>
      </w:r>
      <w:r w:rsidR="00A1351A" w:rsidRPr="00A1351A">
        <w:rPr>
          <w:rFonts w:ascii="Arial" w:hAnsi="Arial" w:cs="Arial"/>
          <w:sz w:val="21"/>
          <w:szCs w:val="21"/>
        </w:rPr>
        <w:t xml:space="preserve">mandatory mediation, modernization, </w:t>
      </w:r>
      <w:r w:rsidR="00A1351A">
        <w:rPr>
          <w:rFonts w:ascii="Arial" w:hAnsi="Arial" w:cs="Arial"/>
          <w:sz w:val="21"/>
          <w:szCs w:val="21"/>
        </w:rPr>
        <w:t xml:space="preserve">and </w:t>
      </w:r>
      <w:r w:rsidR="00A1351A" w:rsidRPr="00A1351A">
        <w:rPr>
          <w:rFonts w:ascii="Arial" w:hAnsi="Arial" w:cs="Arial"/>
          <w:sz w:val="21"/>
          <w:szCs w:val="21"/>
        </w:rPr>
        <w:t xml:space="preserve">streamlined procedures </w:t>
      </w:r>
      <w:r w:rsidR="00A1351A">
        <w:rPr>
          <w:rFonts w:ascii="Arial" w:hAnsi="Arial" w:cs="Arial"/>
          <w:sz w:val="21"/>
          <w:szCs w:val="21"/>
        </w:rPr>
        <w:t>ha</w:t>
      </w:r>
      <w:r w:rsidR="004D6CE8">
        <w:rPr>
          <w:rFonts w:ascii="Arial" w:hAnsi="Arial" w:cs="Arial"/>
          <w:sz w:val="21"/>
          <w:szCs w:val="21"/>
        </w:rPr>
        <w:t>ve been implemented in the proposals</w:t>
      </w:r>
      <w:r w:rsidR="00A1351A">
        <w:rPr>
          <w:rFonts w:ascii="Arial" w:hAnsi="Arial" w:cs="Arial"/>
          <w:sz w:val="21"/>
          <w:szCs w:val="21"/>
        </w:rPr>
        <w:t xml:space="preserve">. </w:t>
      </w:r>
      <w:r w:rsidR="004C5039">
        <w:rPr>
          <w:rFonts w:ascii="Arial" w:hAnsi="Arial" w:cs="Arial"/>
          <w:sz w:val="21"/>
          <w:szCs w:val="21"/>
        </w:rPr>
        <w:t>W</w:t>
      </w:r>
      <w:r w:rsidR="004C5039" w:rsidRPr="004C5039">
        <w:rPr>
          <w:rFonts w:ascii="Arial" w:hAnsi="Arial" w:cs="Arial"/>
          <w:sz w:val="21"/>
          <w:szCs w:val="21"/>
        </w:rPr>
        <w:t xml:space="preserve">e </w:t>
      </w:r>
      <w:r w:rsidR="00EF196E">
        <w:rPr>
          <w:rFonts w:ascii="Arial" w:hAnsi="Arial" w:cs="Arial"/>
          <w:sz w:val="21"/>
          <w:szCs w:val="21"/>
        </w:rPr>
        <w:t xml:space="preserve">continue to </w:t>
      </w:r>
      <w:r w:rsidR="004C5039" w:rsidRPr="004C5039">
        <w:rPr>
          <w:rFonts w:ascii="Arial" w:hAnsi="Arial" w:cs="Arial"/>
          <w:sz w:val="21"/>
          <w:szCs w:val="21"/>
        </w:rPr>
        <w:t xml:space="preserve">believe </w:t>
      </w:r>
      <w:r w:rsidR="00E87F96">
        <w:rPr>
          <w:rFonts w:ascii="Arial" w:hAnsi="Arial" w:cs="Arial"/>
          <w:sz w:val="21"/>
          <w:szCs w:val="21"/>
        </w:rPr>
        <w:t>the below</w:t>
      </w:r>
      <w:r w:rsidR="004C5039">
        <w:rPr>
          <w:rFonts w:ascii="Arial" w:hAnsi="Arial" w:cs="Arial"/>
          <w:sz w:val="21"/>
          <w:szCs w:val="21"/>
        </w:rPr>
        <w:t xml:space="preserve"> changes </w:t>
      </w:r>
      <w:r w:rsidR="004C5039" w:rsidRPr="004C5039">
        <w:rPr>
          <w:rFonts w:ascii="Arial" w:hAnsi="Arial" w:cs="Arial"/>
          <w:sz w:val="21"/>
          <w:szCs w:val="21"/>
        </w:rPr>
        <w:t>would be beneficial and worthy of adoption</w:t>
      </w:r>
      <w:r w:rsidR="00EF196E">
        <w:rPr>
          <w:rFonts w:ascii="Arial" w:hAnsi="Arial" w:cs="Arial"/>
          <w:sz w:val="21"/>
          <w:szCs w:val="21"/>
        </w:rPr>
        <w:t xml:space="preserve">, and in addition we propose a costs regime which </w:t>
      </w:r>
      <w:r w:rsidR="00BD2542">
        <w:rPr>
          <w:rFonts w:ascii="Arial" w:hAnsi="Arial" w:cs="Arial"/>
          <w:sz w:val="21"/>
          <w:szCs w:val="21"/>
        </w:rPr>
        <w:t>could stem the large number of frivolous claims which still plague the system</w:t>
      </w:r>
      <w:r w:rsidR="004C5039">
        <w:rPr>
          <w:rFonts w:ascii="Arial" w:hAnsi="Arial" w:cs="Arial"/>
          <w:sz w:val="21"/>
          <w:szCs w:val="21"/>
        </w:rPr>
        <w:t>:</w:t>
      </w:r>
    </w:p>
    <w:p w14:paraId="25B10E07" w14:textId="77777777" w:rsidR="003C253A" w:rsidRDefault="003C253A" w:rsidP="0037669D">
      <w:pPr>
        <w:rPr>
          <w:rFonts w:ascii="Arial" w:hAnsi="Arial" w:cs="Arial"/>
          <w:sz w:val="21"/>
          <w:szCs w:val="21"/>
        </w:rPr>
      </w:pPr>
    </w:p>
    <w:p w14:paraId="3B6A70F8" w14:textId="59FDD945" w:rsidR="00DC5990" w:rsidRPr="00DC5990" w:rsidRDefault="00B27637" w:rsidP="0074353B">
      <w:pPr>
        <w:pStyle w:val="ListParagraph"/>
        <w:numPr>
          <w:ilvl w:val="0"/>
          <w:numId w:val="10"/>
        </w:numPr>
        <w:rPr>
          <w:rFonts w:ascii="Arial" w:hAnsi="Arial" w:cs="Arial"/>
          <w:b/>
          <w:bCs/>
          <w:sz w:val="21"/>
          <w:szCs w:val="21"/>
        </w:rPr>
      </w:pPr>
      <w:r w:rsidRPr="00DC5990">
        <w:rPr>
          <w:rFonts w:ascii="Arial" w:hAnsi="Arial" w:cs="Arial"/>
          <w:i/>
          <w:iCs/>
          <w:sz w:val="21"/>
          <w:szCs w:val="21"/>
        </w:rPr>
        <w:t>Modernization/Technology Reforms</w:t>
      </w:r>
      <w:r w:rsidRPr="00DC5990">
        <w:rPr>
          <w:rFonts w:ascii="Arial" w:hAnsi="Arial" w:cs="Arial"/>
          <w:sz w:val="21"/>
          <w:szCs w:val="21"/>
        </w:rPr>
        <w:t xml:space="preserve">: </w:t>
      </w:r>
      <w:r w:rsidR="00051A85" w:rsidRPr="00DC5990">
        <w:rPr>
          <w:rFonts w:ascii="Arial" w:hAnsi="Arial" w:cs="Arial"/>
          <w:sz w:val="21"/>
          <w:szCs w:val="21"/>
        </w:rPr>
        <w:t xml:space="preserve">The changes to remove references to fax </w:t>
      </w:r>
      <w:r w:rsidR="007242A7" w:rsidRPr="00DC5990">
        <w:rPr>
          <w:rFonts w:ascii="Arial" w:hAnsi="Arial" w:cs="Arial"/>
          <w:sz w:val="21"/>
          <w:szCs w:val="21"/>
        </w:rPr>
        <w:t xml:space="preserve">numbers and allow email </w:t>
      </w:r>
      <w:r w:rsidR="00E8501A">
        <w:rPr>
          <w:rFonts w:ascii="Arial" w:hAnsi="Arial" w:cs="Arial"/>
          <w:sz w:val="21"/>
          <w:szCs w:val="21"/>
        </w:rPr>
        <w:t>are</w:t>
      </w:r>
      <w:r w:rsidR="007242A7" w:rsidRPr="00DC5990">
        <w:rPr>
          <w:rFonts w:ascii="Arial" w:hAnsi="Arial" w:cs="Arial"/>
          <w:sz w:val="21"/>
          <w:szCs w:val="21"/>
        </w:rPr>
        <w:t xml:space="preserve"> welcome</w:t>
      </w:r>
      <w:r w:rsidR="00E8501A">
        <w:rPr>
          <w:rFonts w:ascii="Arial" w:hAnsi="Arial" w:cs="Arial"/>
          <w:sz w:val="21"/>
          <w:szCs w:val="21"/>
        </w:rPr>
        <w:t>, in accordance with our prior feedback</w:t>
      </w:r>
      <w:r w:rsidR="007242A7" w:rsidRPr="00DC5990">
        <w:rPr>
          <w:rFonts w:ascii="Arial" w:hAnsi="Arial" w:cs="Arial"/>
          <w:sz w:val="21"/>
          <w:szCs w:val="21"/>
        </w:rPr>
        <w:t xml:space="preserve">. </w:t>
      </w:r>
      <w:r w:rsidR="00E65629" w:rsidRPr="00DC5990">
        <w:rPr>
          <w:rFonts w:ascii="Arial" w:hAnsi="Arial" w:cs="Arial"/>
          <w:sz w:val="21"/>
          <w:szCs w:val="21"/>
        </w:rPr>
        <w:t xml:space="preserve">However, email size limits are </w:t>
      </w:r>
      <w:r w:rsidR="00653985" w:rsidRPr="00DC5990">
        <w:rPr>
          <w:rFonts w:ascii="Arial" w:hAnsi="Arial" w:cs="Arial"/>
          <w:sz w:val="21"/>
          <w:szCs w:val="21"/>
        </w:rPr>
        <w:t xml:space="preserve">typically less than 35 MB, which is not often not enough for materials. It should also be noted that materials tend to grow in size as litigation proceeds. Cost-effective and easy-to-use solutions are abundant through </w:t>
      </w:r>
      <w:r w:rsidR="00DC5990">
        <w:rPr>
          <w:rFonts w:ascii="Arial" w:hAnsi="Arial" w:cs="Arial"/>
          <w:sz w:val="21"/>
          <w:szCs w:val="21"/>
        </w:rPr>
        <w:t xml:space="preserve">file-sharing </w:t>
      </w:r>
      <w:r w:rsidR="00653985" w:rsidRPr="00DC5990">
        <w:rPr>
          <w:rFonts w:ascii="Arial" w:hAnsi="Arial" w:cs="Arial"/>
          <w:sz w:val="21"/>
          <w:szCs w:val="21"/>
        </w:rPr>
        <w:t xml:space="preserve">apps like </w:t>
      </w:r>
      <w:r w:rsidR="00345903" w:rsidRPr="00DC5990">
        <w:rPr>
          <w:rFonts w:ascii="Arial" w:hAnsi="Arial" w:cs="Arial"/>
          <w:sz w:val="21"/>
          <w:szCs w:val="21"/>
        </w:rPr>
        <w:t>Google Drive, SharePoint, and OneDrive</w:t>
      </w:r>
      <w:r w:rsidR="0093312E" w:rsidRPr="00DC5990">
        <w:rPr>
          <w:rFonts w:ascii="Arial" w:hAnsi="Arial" w:cs="Arial"/>
          <w:sz w:val="21"/>
          <w:szCs w:val="21"/>
        </w:rPr>
        <w:t>.</w:t>
      </w:r>
      <w:r w:rsidRPr="00DC5990">
        <w:rPr>
          <w:rFonts w:ascii="Arial" w:hAnsi="Arial" w:cs="Arial"/>
          <w:sz w:val="21"/>
          <w:szCs w:val="21"/>
        </w:rPr>
        <w:t xml:space="preserve"> </w:t>
      </w:r>
      <w:r w:rsidR="00DC5990" w:rsidRPr="00DC5990">
        <w:rPr>
          <w:rFonts w:ascii="Arial" w:hAnsi="Arial" w:cs="Arial"/>
          <w:sz w:val="21"/>
          <w:szCs w:val="21"/>
        </w:rPr>
        <w:t>Apps such as t</w:t>
      </w:r>
      <w:r w:rsidR="00653985" w:rsidRPr="00DC5990">
        <w:rPr>
          <w:rFonts w:ascii="Arial" w:hAnsi="Arial" w:cs="Arial"/>
          <w:sz w:val="21"/>
          <w:szCs w:val="21"/>
        </w:rPr>
        <w:t xml:space="preserve">hese should be </w:t>
      </w:r>
      <w:r w:rsidR="00DC5990">
        <w:rPr>
          <w:rFonts w:ascii="Arial" w:hAnsi="Arial" w:cs="Arial"/>
          <w:sz w:val="21"/>
          <w:szCs w:val="21"/>
        </w:rPr>
        <w:t>explicitly permitted.</w:t>
      </w:r>
    </w:p>
    <w:p w14:paraId="337A3039" w14:textId="77777777" w:rsidR="00DC5990" w:rsidRDefault="00DC5990" w:rsidP="00DC5990">
      <w:pPr>
        <w:ind w:left="360"/>
        <w:rPr>
          <w:rFonts w:ascii="Arial" w:hAnsi="Arial" w:cs="Arial"/>
          <w:b/>
          <w:bCs/>
          <w:sz w:val="21"/>
          <w:szCs w:val="21"/>
        </w:rPr>
      </w:pPr>
    </w:p>
    <w:p w14:paraId="2BBDA7E3" w14:textId="550DE125" w:rsidR="0086326F" w:rsidRDefault="00955DE1" w:rsidP="00D2080E">
      <w:pPr>
        <w:pStyle w:val="ListParagraph"/>
        <w:numPr>
          <w:ilvl w:val="0"/>
          <w:numId w:val="10"/>
        </w:numPr>
        <w:rPr>
          <w:rFonts w:ascii="Arial" w:hAnsi="Arial" w:cs="Arial"/>
          <w:sz w:val="21"/>
          <w:szCs w:val="21"/>
        </w:rPr>
      </w:pPr>
      <w:r w:rsidRPr="00E820D8">
        <w:rPr>
          <w:rFonts w:ascii="Arial" w:hAnsi="Arial" w:cs="Arial"/>
          <w:i/>
          <w:iCs/>
          <w:sz w:val="21"/>
          <w:szCs w:val="21"/>
        </w:rPr>
        <w:t xml:space="preserve">Motions/Requests for Orders: </w:t>
      </w:r>
      <w:r w:rsidR="0050784A" w:rsidRPr="00E820D8">
        <w:rPr>
          <w:rFonts w:ascii="Arial" w:hAnsi="Arial" w:cs="Arial"/>
          <w:sz w:val="21"/>
          <w:szCs w:val="21"/>
        </w:rPr>
        <w:t>Streamlining</w:t>
      </w:r>
      <w:r w:rsidR="00101BC5" w:rsidRPr="00E820D8">
        <w:rPr>
          <w:rFonts w:ascii="Arial" w:hAnsi="Arial" w:cs="Arial"/>
          <w:sz w:val="21"/>
          <w:szCs w:val="21"/>
        </w:rPr>
        <w:t xml:space="preserve"> procedural requests and summary processes is welcome</w:t>
      </w:r>
      <w:r w:rsidR="00D25CCE" w:rsidRPr="00E820D8">
        <w:rPr>
          <w:rFonts w:ascii="Arial" w:hAnsi="Arial" w:cs="Arial"/>
          <w:sz w:val="21"/>
          <w:szCs w:val="21"/>
        </w:rPr>
        <w:t>, in accordance with our prior feedback.</w:t>
      </w:r>
      <w:r w:rsidR="00101BC5" w:rsidRPr="00E820D8">
        <w:rPr>
          <w:rFonts w:ascii="Arial" w:hAnsi="Arial" w:cs="Arial"/>
          <w:sz w:val="21"/>
          <w:szCs w:val="21"/>
        </w:rPr>
        <w:t xml:space="preserve"> </w:t>
      </w:r>
    </w:p>
    <w:p w14:paraId="2640F8F6" w14:textId="77777777" w:rsidR="00E820D8" w:rsidRPr="00E820D8" w:rsidRDefault="00E820D8" w:rsidP="00E820D8">
      <w:pPr>
        <w:rPr>
          <w:rFonts w:ascii="Arial" w:hAnsi="Arial" w:cs="Arial"/>
          <w:sz w:val="21"/>
          <w:szCs w:val="21"/>
        </w:rPr>
      </w:pPr>
    </w:p>
    <w:p w14:paraId="0C6C246A" w14:textId="0F41E4A4" w:rsidR="0086326F" w:rsidRPr="00931613" w:rsidRDefault="008E0BCE" w:rsidP="00B27637">
      <w:pPr>
        <w:pStyle w:val="ListParagraph"/>
        <w:numPr>
          <w:ilvl w:val="0"/>
          <w:numId w:val="10"/>
        </w:numPr>
        <w:rPr>
          <w:rFonts w:ascii="Arial" w:hAnsi="Arial" w:cs="Arial"/>
          <w:sz w:val="21"/>
          <w:szCs w:val="21"/>
        </w:rPr>
      </w:pPr>
      <w:r w:rsidRPr="00931613">
        <w:rPr>
          <w:rFonts w:ascii="Arial" w:hAnsi="Arial" w:cs="Arial"/>
          <w:i/>
          <w:iCs/>
          <w:sz w:val="21"/>
          <w:szCs w:val="21"/>
        </w:rPr>
        <w:t xml:space="preserve">Mandatory Mediation: </w:t>
      </w:r>
      <w:r w:rsidR="00AE0046">
        <w:rPr>
          <w:rFonts w:ascii="Arial" w:hAnsi="Arial" w:cs="Arial"/>
          <w:sz w:val="21"/>
          <w:szCs w:val="21"/>
        </w:rPr>
        <w:t>Mandatory mediation is welcome</w:t>
      </w:r>
      <w:r w:rsidR="00D06BF6">
        <w:rPr>
          <w:rFonts w:ascii="Arial" w:hAnsi="Arial" w:cs="Arial"/>
          <w:sz w:val="21"/>
          <w:szCs w:val="21"/>
        </w:rPr>
        <w:t>, in accordance with our prior feedback</w:t>
      </w:r>
      <w:r w:rsidR="00AE0046">
        <w:rPr>
          <w:rFonts w:ascii="Arial" w:hAnsi="Arial" w:cs="Arial"/>
          <w:sz w:val="21"/>
          <w:szCs w:val="21"/>
        </w:rPr>
        <w:t>.</w:t>
      </w:r>
      <w:r w:rsidRPr="00931613">
        <w:rPr>
          <w:rFonts w:ascii="Arial" w:hAnsi="Arial" w:cs="Arial"/>
          <w:sz w:val="21"/>
          <w:szCs w:val="21"/>
        </w:rPr>
        <w:t xml:space="preserve"> </w:t>
      </w:r>
      <w:r w:rsidR="009362BA">
        <w:rPr>
          <w:rFonts w:ascii="Arial" w:hAnsi="Arial" w:cs="Arial"/>
          <w:sz w:val="21"/>
          <w:szCs w:val="21"/>
        </w:rPr>
        <w:t xml:space="preserve">We </w:t>
      </w:r>
      <w:r w:rsidR="000B4645">
        <w:rPr>
          <w:rFonts w:ascii="Arial" w:hAnsi="Arial" w:cs="Arial"/>
          <w:sz w:val="21"/>
          <w:szCs w:val="21"/>
        </w:rPr>
        <w:t xml:space="preserve">continue to </w:t>
      </w:r>
      <w:r w:rsidR="009362BA">
        <w:rPr>
          <w:rFonts w:ascii="Arial" w:hAnsi="Arial" w:cs="Arial"/>
          <w:sz w:val="21"/>
          <w:szCs w:val="21"/>
        </w:rPr>
        <w:t>propose</w:t>
      </w:r>
      <w:r w:rsidR="000B4645">
        <w:rPr>
          <w:rFonts w:ascii="Arial" w:hAnsi="Arial" w:cs="Arial"/>
          <w:sz w:val="21"/>
          <w:szCs w:val="21"/>
        </w:rPr>
        <w:t>, as per our last submission, that</w:t>
      </w:r>
      <w:r w:rsidR="009362BA">
        <w:rPr>
          <w:rFonts w:ascii="Arial" w:hAnsi="Arial" w:cs="Arial"/>
          <w:sz w:val="21"/>
          <w:szCs w:val="21"/>
        </w:rPr>
        <w:t xml:space="preserve"> </w:t>
      </w:r>
      <w:r w:rsidR="00D33C65">
        <w:rPr>
          <w:rFonts w:ascii="Arial" w:hAnsi="Arial" w:cs="Arial"/>
          <w:sz w:val="21"/>
          <w:szCs w:val="21"/>
        </w:rPr>
        <w:t>a mediation be scheduled early from</w:t>
      </w:r>
      <w:r w:rsidRPr="00931613">
        <w:rPr>
          <w:rFonts w:ascii="Arial" w:hAnsi="Arial" w:cs="Arial"/>
          <w:sz w:val="21"/>
          <w:szCs w:val="21"/>
        </w:rPr>
        <w:t xml:space="preserve"> the commencement of the application (such as 6-8 months of the issuance of the application).</w:t>
      </w:r>
      <w:r w:rsidR="000012B0" w:rsidRPr="00931613">
        <w:rPr>
          <w:rFonts w:ascii="Arial" w:hAnsi="Arial" w:cs="Arial"/>
          <w:sz w:val="21"/>
          <w:szCs w:val="21"/>
        </w:rPr>
        <w:t xml:space="preserve"> Parties are likely to resolve earlier in the procedure before significant costs cause them to entrench into their positions.</w:t>
      </w:r>
      <w:r w:rsidRPr="00931613">
        <w:rPr>
          <w:rFonts w:ascii="Arial" w:hAnsi="Arial" w:cs="Arial"/>
          <w:sz w:val="21"/>
          <w:szCs w:val="21"/>
        </w:rPr>
        <w:t xml:space="preserve"> </w:t>
      </w:r>
      <w:r w:rsidR="005B3669" w:rsidRPr="00931613">
        <w:rPr>
          <w:rFonts w:ascii="Arial" w:hAnsi="Arial" w:cs="Arial"/>
          <w:sz w:val="21"/>
          <w:szCs w:val="21"/>
        </w:rPr>
        <w:t>Similarly, w</w:t>
      </w:r>
      <w:r w:rsidR="00B00256" w:rsidRPr="00931613">
        <w:rPr>
          <w:rFonts w:ascii="Arial" w:hAnsi="Arial" w:cs="Arial"/>
          <w:sz w:val="21"/>
          <w:szCs w:val="21"/>
        </w:rPr>
        <w:t>e are</w:t>
      </w:r>
      <w:r w:rsidR="004B7E4E" w:rsidRPr="00931613">
        <w:rPr>
          <w:rFonts w:ascii="Arial" w:hAnsi="Arial" w:cs="Arial"/>
          <w:sz w:val="21"/>
          <w:szCs w:val="21"/>
        </w:rPr>
        <w:t xml:space="preserve"> also</w:t>
      </w:r>
      <w:r w:rsidR="00B00256" w:rsidRPr="00931613">
        <w:rPr>
          <w:rFonts w:ascii="Arial" w:hAnsi="Arial" w:cs="Arial"/>
          <w:sz w:val="21"/>
          <w:szCs w:val="21"/>
        </w:rPr>
        <w:t xml:space="preserve"> of the view that mediations are most successful before parties have committed significant time and expense to preparing materials and, as such, </w:t>
      </w:r>
      <w:r w:rsidR="000012B0" w:rsidRPr="00931613">
        <w:rPr>
          <w:rFonts w:ascii="Arial" w:hAnsi="Arial" w:cs="Arial"/>
          <w:sz w:val="21"/>
          <w:szCs w:val="21"/>
        </w:rPr>
        <w:t>mediation sessions</w:t>
      </w:r>
      <w:r w:rsidR="00B00256" w:rsidRPr="00931613">
        <w:rPr>
          <w:rFonts w:ascii="Arial" w:hAnsi="Arial" w:cs="Arial"/>
          <w:sz w:val="21"/>
          <w:szCs w:val="21"/>
        </w:rPr>
        <w:t xml:space="preserve"> should rely primarily on the pleadings</w:t>
      </w:r>
      <w:r w:rsidR="000012B0" w:rsidRPr="00931613">
        <w:rPr>
          <w:rFonts w:ascii="Arial" w:hAnsi="Arial" w:cs="Arial"/>
          <w:sz w:val="21"/>
          <w:szCs w:val="21"/>
        </w:rPr>
        <w:t>, and any attached documents,</w:t>
      </w:r>
      <w:r w:rsidR="00B00256" w:rsidRPr="00931613">
        <w:rPr>
          <w:rFonts w:ascii="Arial" w:hAnsi="Arial" w:cs="Arial"/>
          <w:sz w:val="21"/>
          <w:szCs w:val="21"/>
        </w:rPr>
        <w:t xml:space="preserve"> unless a party chooses to file some other document they feel is material to their application or response.</w:t>
      </w:r>
      <w:r w:rsidR="005B3669" w:rsidRPr="00931613">
        <w:rPr>
          <w:rFonts w:ascii="Arial" w:hAnsi="Arial" w:cs="Arial"/>
          <w:sz w:val="21"/>
          <w:szCs w:val="21"/>
        </w:rPr>
        <w:t xml:space="preserve"> </w:t>
      </w:r>
      <w:r w:rsidR="00345903">
        <w:rPr>
          <w:rFonts w:ascii="Arial" w:hAnsi="Arial" w:cs="Arial"/>
          <w:sz w:val="21"/>
          <w:szCs w:val="21"/>
        </w:rPr>
        <w:t>We note that t</w:t>
      </w:r>
      <w:r w:rsidR="005B3669" w:rsidRPr="00931613">
        <w:rPr>
          <w:rFonts w:ascii="Arial" w:hAnsi="Arial" w:cs="Arial"/>
          <w:sz w:val="21"/>
          <w:szCs w:val="21"/>
        </w:rPr>
        <w:t xml:space="preserve">he Small Claims Court requires parties to attend a settlement conference shortly after the close of </w:t>
      </w:r>
      <w:r w:rsidR="005B3669" w:rsidRPr="00931613">
        <w:rPr>
          <w:rFonts w:ascii="Arial" w:hAnsi="Arial" w:cs="Arial"/>
          <w:sz w:val="21"/>
          <w:szCs w:val="21"/>
        </w:rPr>
        <w:lastRenderedPageBreak/>
        <w:t xml:space="preserve">pleadings. In our view this is a productive step </w:t>
      </w:r>
      <w:r w:rsidR="009D7684">
        <w:rPr>
          <w:rFonts w:ascii="Arial" w:hAnsi="Arial" w:cs="Arial"/>
          <w:sz w:val="21"/>
          <w:szCs w:val="21"/>
        </w:rPr>
        <w:t xml:space="preserve">for parties </w:t>
      </w:r>
      <w:r w:rsidR="005B3669" w:rsidRPr="00931613">
        <w:rPr>
          <w:rFonts w:ascii="Arial" w:hAnsi="Arial" w:cs="Arial"/>
          <w:sz w:val="21"/>
          <w:szCs w:val="21"/>
        </w:rPr>
        <w:t xml:space="preserve">to assess </w:t>
      </w:r>
      <w:r w:rsidR="00345903">
        <w:rPr>
          <w:rFonts w:ascii="Arial" w:hAnsi="Arial" w:cs="Arial"/>
          <w:sz w:val="21"/>
          <w:szCs w:val="21"/>
        </w:rPr>
        <w:t xml:space="preserve">their positions </w:t>
      </w:r>
      <w:r w:rsidR="009D7684">
        <w:rPr>
          <w:rFonts w:ascii="Arial" w:hAnsi="Arial" w:cs="Arial"/>
          <w:sz w:val="21"/>
          <w:szCs w:val="21"/>
        </w:rPr>
        <w:t>and</w:t>
      </w:r>
      <w:r w:rsidR="005B3669" w:rsidRPr="00931613">
        <w:rPr>
          <w:rFonts w:ascii="Arial" w:hAnsi="Arial" w:cs="Arial"/>
          <w:sz w:val="21"/>
          <w:szCs w:val="21"/>
        </w:rPr>
        <w:t xml:space="preserve"> </w:t>
      </w:r>
      <w:r w:rsidR="009D7684">
        <w:rPr>
          <w:rFonts w:ascii="Arial" w:hAnsi="Arial" w:cs="Arial"/>
          <w:sz w:val="21"/>
          <w:szCs w:val="21"/>
        </w:rPr>
        <w:t>obtain</w:t>
      </w:r>
      <w:r w:rsidR="005B3669" w:rsidRPr="00931613">
        <w:rPr>
          <w:rFonts w:ascii="Arial" w:hAnsi="Arial" w:cs="Arial"/>
          <w:sz w:val="21"/>
          <w:szCs w:val="21"/>
        </w:rPr>
        <w:t xml:space="preserve"> the adjudicator’s candid view of the strengths and weaknesses of the</w:t>
      </w:r>
      <w:r w:rsidR="00345903">
        <w:rPr>
          <w:rFonts w:ascii="Arial" w:hAnsi="Arial" w:cs="Arial"/>
          <w:sz w:val="21"/>
          <w:szCs w:val="21"/>
        </w:rPr>
        <w:t>ir</w:t>
      </w:r>
      <w:r w:rsidR="005B3669" w:rsidRPr="00931613">
        <w:rPr>
          <w:rFonts w:ascii="Arial" w:hAnsi="Arial" w:cs="Arial"/>
          <w:sz w:val="21"/>
          <w:szCs w:val="21"/>
        </w:rPr>
        <w:t xml:space="preserve"> claim or defence and to narrow the issues. Th</w:t>
      </w:r>
      <w:r w:rsidR="00A87157" w:rsidRPr="00931613">
        <w:rPr>
          <w:rFonts w:ascii="Arial" w:hAnsi="Arial" w:cs="Arial"/>
          <w:sz w:val="21"/>
          <w:szCs w:val="21"/>
        </w:rPr>
        <w:t>e HRTO could benefit from mirroring this process.</w:t>
      </w:r>
    </w:p>
    <w:p w14:paraId="0788FE38" w14:textId="77777777" w:rsidR="004340A2" w:rsidRDefault="004340A2" w:rsidP="0037669D">
      <w:pPr>
        <w:rPr>
          <w:rFonts w:ascii="Arial" w:hAnsi="Arial" w:cs="Arial"/>
          <w:sz w:val="21"/>
          <w:szCs w:val="21"/>
        </w:rPr>
      </w:pPr>
    </w:p>
    <w:p w14:paraId="377591FF" w14:textId="452C9CFB" w:rsidR="00D053E7" w:rsidRPr="00931613" w:rsidRDefault="00CA1A7C" w:rsidP="00D053E7">
      <w:pPr>
        <w:pStyle w:val="ListParagraph"/>
        <w:numPr>
          <w:ilvl w:val="0"/>
          <w:numId w:val="11"/>
        </w:numPr>
        <w:rPr>
          <w:rFonts w:ascii="Arial" w:hAnsi="Arial" w:cs="Arial"/>
          <w:sz w:val="21"/>
          <w:szCs w:val="21"/>
        </w:rPr>
      </w:pPr>
      <w:r w:rsidRPr="00931613">
        <w:rPr>
          <w:rFonts w:ascii="Arial" w:hAnsi="Arial" w:cs="Arial"/>
          <w:i/>
          <w:iCs/>
          <w:sz w:val="21"/>
          <w:szCs w:val="21"/>
        </w:rPr>
        <w:t xml:space="preserve">Tying Deadlines to Mediation: </w:t>
      </w:r>
      <w:r w:rsidR="002D6496">
        <w:rPr>
          <w:rFonts w:ascii="Arial" w:hAnsi="Arial" w:cs="Arial"/>
          <w:sz w:val="21"/>
          <w:szCs w:val="21"/>
        </w:rPr>
        <w:t xml:space="preserve">We are happy to see that </w:t>
      </w:r>
      <w:r w:rsidR="008C7393" w:rsidRPr="00931613">
        <w:rPr>
          <w:rFonts w:ascii="Arial" w:hAnsi="Arial" w:cs="Arial"/>
          <w:sz w:val="21"/>
          <w:szCs w:val="21"/>
        </w:rPr>
        <w:t xml:space="preserve">dates and deadlines for productions and witness statements </w:t>
      </w:r>
      <w:r w:rsidR="002D6496">
        <w:rPr>
          <w:rFonts w:ascii="Arial" w:hAnsi="Arial" w:cs="Arial"/>
          <w:sz w:val="21"/>
          <w:szCs w:val="21"/>
        </w:rPr>
        <w:t xml:space="preserve">are not tied </w:t>
      </w:r>
      <w:r w:rsidR="008C7393" w:rsidRPr="00931613">
        <w:rPr>
          <w:rFonts w:ascii="Arial" w:hAnsi="Arial" w:cs="Arial"/>
          <w:sz w:val="21"/>
          <w:szCs w:val="21"/>
        </w:rPr>
        <w:t>to the mediation</w:t>
      </w:r>
      <w:r w:rsidRPr="00931613">
        <w:rPr>
          <w:rFonts w:ascii="Arial" w:hAnsi="Arial" w:cs="Arial"/>
          <w:sz w:val="21"/>
          <w:szCs w:val="21"/>
        </w:rPr>
        <w:t xml:space="preserve"> date</w:t>
      </w:r>
      <w:r w:rsidR="00C32B7F">
        <w:rPr>
          <w:rFonts w:ascii="Arial" w:hAnsi="Arial" w:cs="Arial"/>
          <w:sz w:val="21"/>
          <w:szCs w:val="21"/>
        </w:rPr>
        <w:t xml:space="preserve">, and continue to be tied to </w:t>
      </w:r>
      <w:r w:rsidR="00B96B7F">
        <w:rPr>
          <w:rFonts w:ascii="Arial" w:hAnsi="Arial" w:cs="Arial"/>
          <w:sz w:val="21"/>
          <w:szCs w:val="21"/>
        </w:rPr>
        <w:t>the hearing date</w:t>
      </w:r>
      <w:r w:rsidR="004244E7">
        <w:rPr>
          <w:rFonts w:ascii="Arial" w:hAnsi="Arial" w:cs="Arial"/>
          <w:sz w:val="21"/>
          <w:szCs w:val="21"/>
        </w:rPr>
        <w:t>, in accordance with our prior feedback.</w:t>
      </w:r>
    </w:p>
    <w:p w14:paraId="3AF02524" w14:textId="77777777" w:rsidR="00926E1E" w:rsidRPr="00931613" w:rsidRDefault="00926E1E" w:rsidP="00926E1E">
      <w:pPr>
        <w:rPr>
          <w:rFonts w:ascii="Arial" w:hAnsi="Arial" w:cs="Arial"/>
          <w:sz w:val="21"/>
          <w:szCs w:val="21"/>
        </w:rPr>
      </w:pPr>
    </w:p>
    <w:p w14:paraId="5F832AD6" w14:textId="50A26C02" w:rsidR="00926E1E" w:rsidRPr="00931613" w:rsidRDefault="00926E1E" w:rsidP="00D053E7">
      <w:pPr>
        <w:pStyle w:val="ListParagraph"/>
        <w:numPr>
          <w:ilvl w:val="0"/>
          <w:numId w:val="11"/>
        </w:numPr>
        <w:rPr>
          <w:rFonts w:ascii="Arial" w:hAnsi="Arial" w:cs="Arial"/>
          <w:sz w:val="21"/>
          <w:szCs w:val="21"/>
        </w:rPr>
      </w:pPr>
      <w:r w:rsidRPr="00931613">
        <w:rPr>
          <w:rFonts w:ascii="Arial" w:hAnsi="Arial" w:cs="Arial"/>
          <w:i/>
          <w:iCs/>
          <w:sz w:val="21"/>
          <w:szCs w:val="21"/>
        </w:rPr>
        <w:t>Elimination of Summary Hearings:</w:t>
      </w:r>
      <w:r w:rsidRPr="00931613">
        <w:rPr>
          <w:rFonts w:ascii="Arial" w:hAnsi="Arial" w:cs="Arial"/>
          <w:sz w:val="21"/>
          <w:szCs w:val="21"/>
        </w:rPr>
        <w:t xml:space="preserve"> </w:t>
      </w:r>
      <w:r w:rsidR="00B96B7F">
        <w:rPr>
          <w:rFonts w:ascii="Arial" w:hAnsi="Arial" w:cs="Arial"/>
          <w:sz w:val="21"/>
          <w:szCs w:val="21"/>
        </w:rPr>
        <w:t>We are happy to see that summary hearings continue to be permitted, in accordance with our prior feedback.</w:t>
      </w:r>
      <w:r w:rsidR="0094356B">
        <w:rPr>
          <w:rFonts w:ascii="Arial" w:hAnsi="Arial" w:cs="Arial"/>
          <w:sz w:val="21"/>
          <w:szCs w:val="21"/>
        </w:rPr>
        <w:t xml:space="preserve"> The</w:t>
      </w:r>
      <w:r w:rsidR="00B75BBD">
        <w:rPr>
          <w:rFonts w:ascii="Arial" w:hAnsi="Arial" w:cs="Arial"/>
          <w:sz w:val="21"/>
          <w:szCs w:val="21"/>
        </w:rPr>
        <w:t xml:space="preserve"> </w:t>
      </w:r>
      <w:r w:rsidR="0096598C">
        <w:rPr>
          <w:rFonts w:ascii="Arial" w:hAnsi="Arial" w:cs="Arial"/>
          <w:sz w:val="21"/>
          <w:szCs w:val="21"/>
        </w:rPr>
        <w:t xml:space="preserve">new Practice Direction, which pushes </w:t>
      </w:r>
      <w:r w:rsidR="0094356B">
        <w:rPr>
          <w:rFonts w:ascii="Arial" w:hAnsi="Arial" w:cs="Arial"/>
          <w:sz w:val="21"/>
          <w:szCs w:val="21"/>
        </w:rPr>
        <w:t>for a mediation prior to a summary hearing</w:t>
      </w:r>
      <w:r w:rsidR="0096598C">
        <w:rPr>
          <w:rFonts w:ascii="Arial" w:hAnsi="Arial" w:cs="Arial"/>
          <w:sz w:val="21"/>
          <w:szCs w:val="21"/>
        </w:rPr>
        <w:t>,</w:t>
      </w:r>
      <w:r w:rsidR="0094356B">
        <w:rPr>
          <w:rFonts w:ascii="Arial" w:hAnsi="Arial" w:cs="Arial"/>
          <w:sz w:val="21"/>
          <w:szCs w:val="21"/>
        </w:rPr>
        <w:t xml:space="preserve"> may help, allowing parties to settle early.</w:t>
      </w:r>
    </w:p>
    <w:p w14:paraId="381B32B9" w14:textId="77777777" w:rsidR="00A76CDC" w:rsidRPr="00931613" w:rsidRDefault="00A76CDC" w:rsidP="00A76CDC">
      <w:pPr>
        <w:pStyle w:val="ListParagraph"/>
        <w:rPr>
          <w:rFonts w:ascii="Arial" w:hAnsi="Arial" w:cs="Arial"/>
          <w:sz w:val="21"/>
          <w:szCs w:val="21"/>
        </w:rPr>
      </w:pPr>
    </w:p>
    <w:p w14:paraId="5F50C179" w14:textId="61E21F86" w:rsidR="00A76CDC" w:rsidRDefault="00A76CDC" w:rsidP="00A76CDC">
      <w:pPr>
        <w:pStyle w:val="ListParagraph"/>
        <w:numPr>
          <w:ilvl w:val="0"/>
          <w:numId w:val="11"/>
        </w:numPr>
        <w:rPr>
          <w:rFonts w:ascii="Arial" w:hAnsi="Arial" w:cs="Arial"/>
          <w:sz w:val="21"/>
          <w:szCs w:val="21"/>
        </w:rPr>
      </w:pPr>
      <w:r w:rsidRPr="00931613">
        <w:rPr>
          <w:rFonts w:ascii="Arial" w:hAnsi="Arial" w:cs="Arial"/>
          <w:i/>
          <w:iCs/>
          <w:sz w:val="21"/>
          <w:szCs w:val="21"/>
        </w:rPr>
        <w:t xml:space="preserve">Case Management Conference Calls: </w:t>
      </w:r>
      <w:r w:rsidR="00850D66">
        <w:rPr>
          <w:rFonts w:ascii="Arial" w:hAnsi="Arial" w:cs="Arial"/>
          <w:sz w:val="21"/>
          <w:szCs w:val="21"/>
        </w:rPr>
        <w:t xml:space="preserve">The additional flexibility in the new Practice Direction may be helpful. </w:t>
      </w:r>
      <w:r w:rsidR="008E75CD">
        <w:rPr>
          <w:rFonts w:ascii="Arial" w:hAnsi="Arial" w:cs="Arial"/>
          <w:sz w:val="21"/>
          <w:szCs w:val="21"/>
        </w:rPr>
        <w:t>As per our prior feedback, w</w:t>
      </w:r>
      <w:r w:rsidRPr="00931613">
        <w:rPr>
          <w:rFonts w:ascii="Arial" w:hAnsi="Arial" w:cs="Arial"/>
          <w:sz w:val="21"/>
          <w:szCs w:val="21"/>
        </w:rPr>
        <w:t xml:space="preserve">e </w:t>
      </w:r>
      <w:r w:rsidR="008E75CD">
        <w:rPr>
          <w:rFonts w:ascii="Arial" w:hAnsi="Arial" w:cs="Arial"/>
          <w:sz w:val="21"/>
          <w:szCs w:val="21"/>
        </w:rPr>
        <w:t xml:space="preserve">continue to advocate for </w:t>
      </w:r>
      <w:r w:rsidRPr="00931613">
        <w:rPr>
          <w:rFonts w:ascii="Arial" w:hAnsi="Arial" w:cs="Arial"/>
          <w:sz w:val="21"/>
          <w:szCs w:val="21"/>
        </w:rPr>
        <w:t xml:space="preserve">case management discussions </w:t>
      </w:r>
      <w:r w:rsidR="008E75CD">
        <w:rPr>
          <w:rFonts w:ascii="Arial" w:hAnsi="Arial" w:cs="Arial"/>
          <w:sz w:val="21"/>
          <w:szCs w:val="21"/>
        </w:rPr>
        <w:t>to also</w:t>
      </w:r>
      <w:r w:rsidRPr="00931613">
        <w:rPr>
          <w:rFonts w:ascii="Arial" w:hAnsi="Arial" w:cs="Arial"/>
          <w:sz w:val="21"/>
          <w:szCs w:val="21"/>
        </w:rPr>
        <w:t xml:space="preserve"> occur at the end of a </w:t>
      </w:r>
      <w:r w:rsidR="007B0B4D">
        <w:rPr>
          <w:rFonts w:ascii="Arial" w:hAnsi="Arial" w:cs="Arial"/>
          <w:sz w:val="21"/>
          <w:szCs w:val="21"/>
        </w:rPr>
        <w:t xml:space="preserve">failed </w:t>
      </w:r>
      <w:r w:rsidRPr="00931613">
        <w:rPr>
          <w:rFonts w:ascii="Arial" w:hAnsi="Arial" w:cs="Arial"/>
          <w:sz w:val="21"/>
          <w:szCs w:val="21"/>
        </w:rPr>
        <w:t xml:space="preserve">mediation session. This would mirror the approach taken at the </w:t>
      </w:r>
      <w:r w:rsidR="005254BD" w:rsidRPr="00931613">
        <w:rPr>
          <w:rFonts w:ascii="Arial" w:hAnsi="Arial" w:cs="Arial"/>
          <w:sz w:val="21"/>
          <w:szCs w:val="21"/>
        </w:rPr>
        <w:t xml:space="preserve">mandatory </w:t>
      </w:r>
      <w:r w:rsidRPr="00931613">
        <w:rPr>
          <w:rFonts w:ascii="Arial" w:hAnsi="Arial" w:cs="Arial"/>
          <w:sz w:val="21"/>
          <w:szCs w:val="21"/>
        </w:rPr>
        <w:t xml:space="preserve">settlement conferences which take place in the Small Claims Court. Where the action does not settle, the presiding judge makes orders in respect of the remaining steps in the process, the time required for a hearing, and the number of witnesses. Thereafter, case management meetings should only be offered on an exceptional basis. </w:t>
      </w:r>
    </w:p>
    <w:p w14:paraId="46A5FC01" w14:textId="77777777" w:rsidR="00AB2DC0" w:rsidRPr="00AB2DC0" w:rsidRDefault="00AB2DC0" w:rsidP="00AB2DC0">
      <w:pPr>
        <w:pStyle w:val="ListParagraph"/>
        <w:rPr>
          <w:rFonts w:ascii="Arial" w:hAnsi="Arial" w:cs="Arial"/>
          <w:sz w:val="21"/>
          <w:szCs w:val="21"/>
        </w:rPr>
      </w:pPr>
    </w:p>
    <w:p w14:paraId="6E4C5979" w14:textId="7C34BCDE" w:rsidR="008C7393" w:rsidRPr="00884E1E" w:rsidRDefault="00AB2DC0" w:rsidP="00F20D6F">
      <w:pPr>
        <w:pStyle w:val="ListParagraph"/>
        <w:numPr>
          <w:ilvl w:val="0"/>
          <w:numId w:val="11"/>
        </w:numPr>
        <w:rPr>
          <w:rFonts w:ascii="Arial" w:hAnsi="Arial" w:cs="Arial"/>
          <w:sz w:val="21"/>
          <w:szCs w:val="21"/>
        </w:rPr>
      </w:pPr>
      <w:r w:rsidRPr="00884E1E">
        <w:rPr>
          <w:rFonts w:ascii="Arial" w:hAnsi="Arial" w:cs="Arial"/>
          <w:i/>
          <w:iCs/>
          <w:sz w:val="21"/>
          <w:szCs w:val="21"/>
        </w:rPr>
        <w:t>Costs Regime:</w:t>
      </w:r>
      <w:r w:rsidRPr="00884E1E">
        <w:rPr>
          <w:rFonts w:ascii="Arial" w:hAnsi="Arial" w:cs="Arial"/>
          <w:sz w:val="21"/>
          <w:szCs w:val="21"/>
        </w:rPr>
        <w:t xml:space="preserve"> Costs </w:t>
      </w:r>
      <w:r w:rsidR="00CA79B8" w:rsidRPr="00884E1E">
        <w:rPr>
          <w:rFonts w:ascii="Arial" w:hAnsi="Arial" w:cs="Arial"/>
          <w:sz w:val="21"/>
          <w:szCs w:val="21"/>
        </w:rPr>
        <w:t xml:space="preserve">awards are available in human rights </w:t>
      </w:r>
      <w:r w:rsidR="00A0149E" w:rsidRPr="00884E1E">
        <w:rPr>
          <w:rFonts w:ascii="Arial" w:hAnsi="Arial" w:cs="Arial"/>
          <w:sz w:val="21"/>
          <w:szCs w:val="21"/>
        </w:rPr>
        <w:t xml:space="preserve">tribunals in exceptional cases </w:t>
      </w:r>
      <w:r w:rsidR="00CA79B8" w:rsidRPr="00884E1E">
        <w:rPr>
          <w:rFonts w:ascii="Arial" w:hAnsi="Arial" w:cs="Arial"/>
          <w:sz w:val="21"/>
          <w:szCs w:val="21"/>
        </w:rPr>
        <w:t xml:space="preserve">in Alberta, BC, </w:t>
      </w:r>
      <w:r w:rsidR="00FC6816" w:rsidRPr="00884E1E">
        <w:rPr>
          <w:rFonts w:ascii="Arial" w:hAnsi="Arial" w:cs="Arial"/>
          <w:sz w:val="21"/>
          <w:szCs w:val="21"/>
        </w:rPr>
        <w:t>and</w:t>
      </w:r>
      <w:r w:rsidR="00A0149E" w:rsidRPr="00884E1E">
        <w:rPr>
          <w:rFonts w:ascii="Arial" w:hAnsi="Arial" w:cs="Arial"/>
          <w:sz w:val="21"/>
          <w:szCs w:val="21"/>
        </w:rPr>
        <w:t xml:space="preserve"> perhaps</w:t>
      </w:r>
      <w:r w:rsidR="00FC6816" w:rsidRPr="00884E1E">
        <w:rPr>
          <w:rFonts w:ascii="Arial" w:hAnsi="Arial" w:cs="Arial"/>
          <w:sz w:val="21"/>
          <w:szCs w:val="21"/>
        </w:rPr>
        <w:t xml:space="preserve"> federally. </w:t>
      </w:r>
      <w:r w:rsidR="003C4D05" w:rsidRPr="00884E1E">
        <w:rPr>
          <w:rFonts w:ascii="Arial" w:hAnsi="Arial" w:cs="Arial"/>
          <w:sz w:val="21"/>
          <w:szCs w:val="21"/>
        </w:rPr>
        <w:t>T</w:t>
      </w:r>
      <w:r w:rsidR="00215A16" w:rsidRPr="00884E1E">
        <w:rPr>
          <w:rFonts w:ascii="Arial" w:hAnsi="Arial" w:cs="Arial"/>
          <w:sz w:val="21"/>
          <w:szCs w:val="21"/>
        </w:rPr>
        <w:t xml:space="preserve">he HRTO </w:t>
      </w:r>
      <w:r w:rsidR="003C4D05" w:rsidRPr="00884E1E">
        <w:rPr>
          <w:rFonts w:ascii="Arial" w:hAnsi="Arial" w:cs="Arial"/>
          <w:sz w:val="21"/>
          <w:szCs w:val="21"/>
        </w:rPr>
        <w:t xml:space="preserve">does not award costs. This contributes to </w:t>
      </w:r>
      <w:r w:rsidR="00215A16" w:rsidRPr="00884E1E">
        <w:rPr>
          <w:rFonts w:ascii="Arial" w:hAnsi="Arial" w:cs="Arial"/>
          <w:sz w:val="21"/>
          <w:szCs w:val="21"/>
        </w:rPr>
        <w:t xml:space="preserve">a large number of frivolous claims. HRTO’s own statistics show that many cases are dismissed </w:t>
      </w:r>
      <w:r w:rsidR="003A6FB3" w:rsidRPr="00884E1E">
        <w:rPr>
          <w:rFonts w:ascii="Arial" w:hAnsi="Arial" w:cs="Arial"/>
          <w:sz w:val="21"/>
          <w:szCs w:val="21"/>
        </w:rPr>
        <w:t>very early in the litigation</w:t>
      </w:r>
      <w:r w:rsidR="004B716E" w:rsidRPr="00884E1E">
        <w:rPr>
          <w:rFonts w:ascii="Arial" w:hAnsi="Arial" w:cs="Arial"/>
          <w:sz w:val="21"/>
          <w:szCs w:val="21"/>
        </w:rPr>
        <w:t xml:space="preserve">, including a high number of summary dismissals, dismissals for lack of jurisdiction, </w:t>
      </w:r>
      <w:r w:rsidR="00884E1E">
        <w:rPr>
          <w:rFonts w:ascii="Arial" w:hAnsi="Arial" w:cs="Arial"/>
          <w:sz w:val="21"/>
          <w:szCs w:val="21"/>
        </w:rPr>
        <w:t xml:space="preserve">and </w:t>
      </w:r>
      <w:r w:rsidR="00884E1E" w:rsidRPr="00884E1E">
        <w:rPr>
          <w:rFonts w:ascii="Arial" w:hAnsi="Arial" w:cs="Arial"/>
          <w:sz w:val="21"/>
          <w:szCs w:val="21"/>
        </w:rPr>
        <w:t>abandonment/administrative dismissals</w:t>
      </w:r>
      <w:r w:rsidR="00884E1E">
        <w:rPr>
          <w:rFonts w:ascii="Arial" w:hAnsi="Arial" w:cs="Arial"/>
          <w:sz w:val="21"/>
          <w:szCs w:val="21"/>
        </w:rPr>
        <w:t xml:space="preserve">. These frivolous cases, especially in aggregate, needlessly cost </w:t>
      </w:r>
      <w:r w:rsidR="00E035C1">
        <w:rPr>
          <w:rFonts w:ascii="Arial" w:hAnsi="Arial" w:cs="Arial"/>
          <w:sz w:val="21"/>
          <w:szCs w:val="21"/>
        </w:rPr>
        <w:t xml:space="preserve">the “winning” </w:t>
      </w:r>
      <w:r w:rsidR="00884E1E">
        <w:rPr>
          <w:rFonts w:ascii="Arial" w:hAnsi="Arial" w:cs="Arial"/>
          <w:sz w:val="21"/>
          <w:szCs w:val="21"/>
        </w:rPr>
        <w:t>parties significantly.</w:t>
      </w:r>
      <w:r w:rsidR="00E035C1">
        <w:rPr>
          <w:rFonts w:ascii="Arial" w:hAnsi="Arial" w:cs="Arial"/>
          <w:sz w:val="21"/>
          <w:szCs w:val="21"/>
        </w:rPr>
        <w:t xml:space="preserve"> A costs awards regime would reduce the commencement of such claims from the outset.</w:t>
      </w:r>
      <w:r w:rsidR="00884E1E">
        <w:rPr>
          <w:rFonts w:ascii="Arial" w:hAnsi="Arial" w:cs="Arial"/>
          <w:sz w:val="21"/>
          <w:szCs w:val="21"/>
        </w:rPr>
        <w:br/>
      </w:r>
    </w:p>
    <w:p w14:paraId="01E5DC59" w14:textId="77777777" w:rsidR="00E137E6" w:rsidRDefault="004340A2" w:rsidP="0037669D">
      <w:pPr>
        <w:rPr>
          <w:rFonts w:ascii="Arial" w:hAnsi="Arial" w:cs="Arial"/>
          <w:sz w:val="21"/>
          <w:szCs w:val="21"/>
        </w:rPr>
      </w:pPr>
      <w:r w:rsidRPr="00931613">
        <w:rPr>
          <w:rFonts w:ascii="Arial" w:hAnsi="Arial" w:cs="Arial"/>
          <w:sz w:val="21"/>
          <w:szCs w:val="21"/>
        </w:rPr>
        <w:t xml:space="preserve">Thank you </w:t>
      </w:r>
      <w:r w:rsidR="00E137E6">
        <w:rPr>
          <w:rFonts w:ascii="Arial" w:hAnsi="Arial" w:cs="Arial"/>
          <w:sz w:val="21"/>
          <w:szCs w:val="21"/>
        </w:rPr>
        <w:t xml:space="preserve">for listening and implementing helpful changes to modernize the system. We hope our comments can continue to improve the reforms. </w:t>
      </w:r>
    </w:p>
    <w:p w14:paraId="235614F9" w14:textId="77777777" w:rsidR="00E137E6" w:rsidRDefault="00E137E6" w:rsidP="0037669D">
      <w:pPr>
        <w:rPr>
          <w:rFonts w:ascii="Arial" w:hAnsi="Arial" w:cs="Arial"/>
          <w:sz w:val="21"/>
          <w:szCs w:val="21"/>
        </w:rPr>
      </w:pPr>
    </w:p>
    <w:p w14:paraId="01953765" w14:textId="6A42E4F2" w:rsidR="004340A2" w:rsidRPr="00931613" w:rsidRDefault="004340A2" w:rsidP="0037669D">
      <w:pPr>
        <w:rPr>
          <w:rFonts w:ascii="Arial" w:hAnsi="Arial" w:cs="Arial"/>
          <w:sz w:val="21"/>
          <w:szCs w:val="21"/>
        </w:rPr>
      </w:pPr>
      <w:r w:rsidRPr="00931613">
        <w:rPr>
          <w:rFonts w:ascii="Arial" w:hAnsi="Arial" w:cs="Arial"/>
          <w:sz w:val="21"/>
          <w:szCs w:val="21"/>
        </w:rPr>
        <w:t xml:space="preserve">We remain available </w:t>
      </w:r>
      <w:r w:rsidR="00857776" w:rsidRPr="00931613">
        <w:rPr>
          <w:rFonts w:ascii="Arial" w:hAnsi="Arial" w:cs="Arial"/>
          <w:sz w:val="21"/>
          <w:szCs w:val="21"/>
        </w:rPr>
        <w:t>to provide clarification and further insights</w:t>
      </w:r>
      <w:r w:rsidR="00626227">
        <w:rPr>
          <w:rFonts w:ascii="Arial" w:hAnsi="Arial" w:cs="Arial"/>
          <w:sz w:val="21"/>
          <w:szCs w:val="21"/>
        </w:rPr>
        <w:t xml:space="preserve"> (email our Director of Policy &amp; Advocacy, Ian Hu, at </w:t>
      </w:r>
      <w:hyperlink r:id="rId9" w:history="1">
        <w:r w:rsidR="00626227" w:rsidRPr="00864AA0">
          <w:rPr>
            <w:rStyle w:val="Hyperlink"/>
            <w:rFonts w:ascii="Arial" w:hAnsi="Arial" w:cs="Arial"/>
            <w:sz w:val="21"/>
            <w:szCs w:val="21"/>
          </w:rPr>
          <w:t>ian.hu@fola.ca</w:t>
        </w:r>
      </w:hyperlink>
      <w:r w:rsidR="00626227">
        <w:rPr>
          <w:rFonts w:ascii="Arial" w:hAnsi="Arial" w:cs="Arial"/>
          <w:sz w:val="21"/>
          <w:szCs w:val="21"/>
        </w:rPr>
        <w:t>)</w:t>
      </w:r>
      <w:r w:rsidR="00857776" w:rsidRPr="00931613">
        <w:rPr>
          <w:rFonts w:ascii="Arial" w:hAnsi="Arial" w:cs="Arial"/>
          <w:sz w:val="21"/>
          <w:szCs w:val="21"/>
        </w:rPr>
        <w:t>. We would be pleased to meet with you to speak further about the commentary we have provided in this letter.</w:t>
      </w:r>
    </w:p>
    <w:p w14:paraId="547ACFBE" w14:textId="77777777" w:rsidR="00955EFA" w:rsidRPr="00931613" w:rsidRDefault="00955EFA" w:rsidP="00385EA7">
      <w:pPr>
        <w:rPr>
          <w:rFonts w:ascii="Arial" w:hAnsi="Arial" w:cs="Arial"/>
          <w:sz w:val="21"/>
          <w:szCs w:val="21"/>
        </w:rPr>
      </w:pPr>
    </w:p>
    <w:p w14:paraId="068092C1" w14:textId="77777777" w:rsidR="00955EFA" w:rsidRPr="00931613" w:rsidRDefault="00955EFA" w:rsidP="00385EA7">
      <w:pPr>
        <w:rPr>
          <w:rFonts w:ascii="Arial" w:hAnsi="Arial" w:cs="Arial"/>
          <w:sz w:val="21"/>
          <w:szCs w:val="21"/>
        </w:rPr>
      </w:pPr>
      <w:r w:rsidRPr="00931613">
        <w:rPr>
          <w:rFonts w:ascii="Arial" w:hAnsi="Arial" w:cs="Arial"/>
          <w:sz w:val="21"/>
          <w:szCs w:val="21"/>
        </w:rPr>
        <w:t>Sincerely,</w:t>
      </w:r>
    </w:p>
    <w:p w14:paraId="0D8AB62E" w14:textId="091999CF" w:rsidR="00447190" w:rsidRDefault="00447190" w:rsidP="00385EA7">
      <w:pPr>
        <w:rPr>
          <w:rFonts w:ascii="Arial" w:hAnsi="Arial" w:cs="Arial"/>
          <w:noProof/>
          <w:sz w:val="21"/>
          <w:szCs w:val="21"/>
        </w:rPr>
      </w:pPr>
    </w:p>
    <w:p w14:paraId="2A3E4DD2" w14:textId="77777777" w:rsidR="00006727" w:rsidRDefault="00006727" w:rsidP="00385EA7">
      <w:pPr>
        <w:rPr>
          <w:rFonts w:ascii="Arial" w:hAnsi="Arial" w:cs="Arial"/>
          <w:noProof/>
          <w:sz w:val="21"/>
          <w:szCs w:val="21"/>
        </w:rPr>
      </w:pPr>
    </w:p>
    <w:p w14:paraId="3F6CE1CE" w14:textId="77777777" w:rsidR="00006727" w:rsidRPr="00931613" w:rsidRDefault="00006727" w:rsidP="00385EA7">
      <w:pPr>
        <w:rPr>
          <w:rFonts w:ascii="Arial" w:hAnsi="Arial" w:cs="Arial"/>
          <w:sz w:val="21"/>
          <w:szCs w:val="21"/>
        </w:rPr>
      </w:pPr>
    </w:p>
    <w:p w14:paraId="1D7BC1CE" w14:textId="2473972F" w:rsidR="00447190" w:rsidRPr="00931613" w:rsidRDefault="00006727" w:rsidP="00385EA7">
      <w:pPr>
        <w:rPr>
          <w:rFonts w:ascii="Arial" w:hAnsi="Arial" w:cs="Arial"/>
          <w:i/>
          <w:iCs/>
          <w:sz w:val="21"/>
          <w:szCs w:val="21"/>
        </w:rPr>
      </w:pPr>
      <w:r>
        <w:rPr>
          <w:rFonts w:ascii="Arial" w:hAnsi="Arial" w:cs="Arial"/>
          <w:sz w:val="21"/>
          <w:szCs w:val="21"/>
        </w:rPr>
        <w:t>Jennifer S. Rooke</w:t>
      </w:r>
    </w:p>
    <w:p w14:paraId="6C2EE9E9" w14:textId="09BB2EEA" w:rsidR="00145C1F" w:rsidRPr="00931613" w:rsidRDefault="00447190" w:rsidP="00926E1E">
      <w:pPr>
        <w:rPr>
          <w:rFonts w:ascii="Arial" w:hAnsi="Arial" w:cs="Arial"/>
          <w:sz w:val="21"/>
          <w:szCs w:val="21"/>
        </w:rPr>
      </w:pPr>
      <w:r w:rsidRPr="00931613">
        <w:rPr>
          <w:rFonts w:ascii="Arial" w:hAnsi="Arial" w:cs="Arial"/>
          <w:sz w:val="21"/>
          <w:szCs w:val="21"/>
        </w:rPr>
        <w:t>Chair</w:t>
      </w:r>
    </w:p>
    <w:sectPr w:rsidR="00145C1F" w:rsidRPr="00931613" w:rsidSect="00E97CBF">
      <w:headerReference w:type="default" r:id="rId10"/>
      <w:footerReference w:type="even" r:id="rId11"/>
      <w:footerReference w:type="default" r:id="rId12"/>
      <w:headerReference w:type="first" r:id="rId13"/>
      <w:footerReference w:type="first" r:id="rId14"/>
      <w:pgSz w:w="12240" w:h="15840"/>
      <w:pgMar w:top="1021" w:right="2268" w:bottom="1021"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63DD1" w14:textId="77777777" w:rsidR="00221700" w:rsidRDefault="00221700" w:rsidP="00675E89">
      <w:r>
        <w:separator/>
      </w:r>
    </w:p>
  </w:endnote>
  <w:endnote w:type="continuationSeparator" w:id="0">
    <w:p w14:paraId="77F83ED0" w14:textId="77777777" w:rsidR="00221700" w:rsidRDefault="00221700" w:rsidP="0067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1925812"/>
      <w:docPartObj>
        <w:docPartGallery w:val="Page Numbers (Bottom of Page)"/>
        <w:docPartUnique/>
      </w:docPartObj>
    </w:sdtPr>
    <w:sdtEndPr>
      <w:rPr>
        <w:rStyle w:val="PageNumber"/>
      </w:rPr>
    </w:sdtEndPr>
    <w:sdtContent>
      <w:p w14:paraId="48E87073" w14:textId="77777777" w:rsidR="009B401F" w:rsidRDefault="009B401F" w:rsidP="006F518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24204275"/>
      <w:docPartObj>
        <w:docPartGallery w:val="Page Numbers (Bottom of Page)"/>
        <w:docPartUnique/>
      </w:docPartObj>
    </w:sdtPr>
    <w:sdtEndPr>
      <w:rPr>
        <w:rStyle w:val="PageNumber"/>
      </w:rPr>
    </w:sdtEndPr>
    <w:sdtContent>
      <w:p w14:paraId="182EBBF4" w14:textId="77777777" w:rsidR="009B401F" w:rsidRDefault="009B401F" w:rsidP="009B401F">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ED40C1" w14:textId="77777777" w:rsidR="009B401F" w:rsidRDefault="009B401F" w:rsidP="009B40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1D87" w14:textId="77777777" w:rsidR="00447190" w:rsidRDefault="00447190" w:rsidP="00447190">
    <w:pPr>
      <w:pStyle w:val="Footer"/>
      <w:ind w:right="360"/>
      <w:rPr>
        <w:rFonts w:ascii="Arial" w:hAnsi="Arial" w:cs="Arial"/>
        <w:color w:val="808080" w:themeColor="background1" w:themeShade="80"/>
        <w:sz w:val="20"/>
        <w:szCs w:val="20"/>
      </w:rPr>
    </w:pPr>
  </w:p>
  <w:p w14:paraId="2BB9B017" w14:textId="77777777" w:rsidR="009B401F" w:rsidRDefault="00447190" w:rsidP="00447190">
    <w:pPr>
      <w:pStyle w:val="Footer"/>
      <w:ind w:right="360"/>
      <w:rPr>
        <w:rFonts w:ascii="Arial" w:hAnsi="Arial" w:cs="Arial"/>
        <w:noProof/>
        <w:color w:val="808080" w:themeColor="background1" w:themeShade="80"/>
        <w:sz w:val="20"/>
        <w:szCs w:val="20"/>
      </w:rPr>
    </w:pPr>
    <w:r w:rsidRPr="00447190">
      <w:rPr>
        <w:rFonts w:ascii="Arial" w:hAnsi="Arial" w:cs="Arial"/>
        <w:color w:val="808080" w:themeColor="background1" w:themeShade="80"/>
        <w:sz w:val="20"/>
        <w:szCs w:val="20"/>
      </w:rPr>
      <w:fldChar w:fldCharType="begin"/>
    </w:r>
    <w:r w:rsidRPr="00447190">
      <w:rPr>
        <w:rFonts w:ascii="Arial" w:hAnsi="Arial" w:cs="Arial"/>
        <w:color w:val="808080" w:themeColor="background1" w:themeShade="80"/>
        <w:sz w:val="20"/>
        <w:szCs w:val="20"/>
      </w:rPr>
      <w:instrText xml:space="preserve"> PAGE   \* MERGEFORMAT </w:instrText>
    </w:r>
    <w:r w:rsidRPr="00447190">
      <w:rPr>
        <w:rFonts w:ascii="Arial" w:hAnsi="Arial" w:cs="Arial"/>
        <w:color w:val="808080" w:themeColor="background1" w:themeShade="80"/>
        <w:sz w:val="20"/>
        <w:szCs w:val="20"/>
      </w:rPr>
      <w:fldChar w:fldCharType="separate"/>
    </w:r>
    <w:r w:rsidRPr="00447190">
      <w:rPr>
        <w:rFonts w:ascii="Arial" w:hAnsi="Arial" w:cs="Arial"/>
        <w:noProof/>
        <w:color w:val="808080" w:themeColor="background1" w:themeShade="80"/>
        <w:sz w:val="20"/>
        <w:szCs w:val="20"/>
      </w:rPr>
      <w:t>1</w:t>
    </w:r>
    <w:r w:rsidRPr="00447190">
      <w:rPr>
        <w:rFonts w:ascii="Arial" w:hAnsi="Arial" w:cs="Arial"/>
        <w:noProof/>
        <w:color w:val="808080" w:themeColor="background1" w:themeShade="80"/>
        <w:sz w:val="20"/>
        <w:szCs w:val="20"/>
      </w:rPr>
      <w:fldChar w:fldCharType="end"/>
    </w:r>
  </w:p>
  <w:p w14:paraId="0DA53980" w14:textId="77777777" w:rsidR="00447190" w:rsidRPr="00447190" w:rsidRDefault="00447190" w:rsidP="00447190">
    <w:pPr>
      <w:pStyle w:val="Footer"/>
      <w:ind w:right="360"/>
      <w:rPr>
        <w:rFonts w:ascii="Arial" w:hAnsi="Arial" w:cs="Arial"/>
        <w:color w:val="808080" w:themeColor="background1" w:themeShade="80"/>
        <w:sz w:val="20"/>
        <w:szCs w:val="20"/>
      </w:rPr>
    </w:pPr>
  </w:p>
  <w:p w14:paraId="169BA07F" w14:textId="77777777" w:rsidR="009B401F" w:rsidRPr="009C06DB" w:rsidRDefault="009B401F" w:rsidP="009B401F">
    <w:pPr>
      <w:pStyle w:val="Footer"/>
      <w:ind w:right="360" w:firstLine="360"/>
      <w:rPr>
        <w:color w:val="808080" w:themeColor="background1" w:themeShade="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1119" w14:textId="77777777" w:rsidR="00221F4D" w:rsidRDefault="00221F4D" w:rsidP="00221F4D">
    <w:pPr>
      <w:pStyle w:val="Footer"/>
      <w:ind w:right="360"/>
    </w:pPr>
  </w:p>
  <w:p w14:paraId="2123E505" w14:textId="77777777" w:rsidR="00F5504B" w:rsidRDefault="00F5504B" w:rsidP="00221F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2AADE" w14:textId="77777777" w:rsidR="00221700" w:rsidRDefault="00221700" w:rsidP="00675E89">
      <w:r>
        <w:separator/>
      </w:r>
    </w:p>
  </w:footnote>
  <w:footnote w:type="continuationSeparator" w:id="0">
    <w:p w14:paraId="22A86F8F" w14:textId="77777777" w:rsidR="00221700" w:rsidRDefault="00221700" w:rsidP="00675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818D" w14:textId="77777777" w:rsidR="00675E89" w:rsidRDefault="00675E89">
    <w:pPr>
      <w:pStyle w:val="Header"/>
    </w:pPr>
    <w:r>
      <w:rPr>
        <w:noProof/>
      </w:rPr>
      <w:drawing>
        <wp:anchor distT="0" distB="0" distL="114300" distR="114300" simplePos="0" relativeHeight="251658240" behindDoc="1" locked="0" layoutInCell="1" allowOverlap="1" wp14:anchorId="5547514A" wp14:editId="2C065AA7">
          <wp:simplePos x="0" y="0"/>
          <wp:positionH relativeFrom="page">
            <wp:posOffset>13648</wp:posOffset>
          </wp:positionH>
          <wp:positionV relativeFrom="page">
            <wp:posOffset>68239</wp:posOffset>
          </wp:positionV>
          <wp:extent cx="7739018" cy="10015200"/>
          <wp:effectExtent l="0" t="0" r="0" b="571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739018" cy="1001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3147" w14:textId="77777777" w:rsidR="00F5504B" w:rsidRDefault="00F5504B">
    <w:pPr>
      <w:pStyle w:val="Header"/>
    </w:pPr>
  </w:p>
  <w:p w14:paraId="2014483D" w14:textId="77777777" w:rsidR="00F5504B" w:rsidRDefault="00F5504B">
    <w:pPr>
      <w:pStyle w:val="Header"/>
    </w:pPr>
  </w:p>
  <w:p w14:paraId="4523FEA9" w14:textId="77777777" w:rsidR="00F5504B" w:rsidRPr="00F5504B" w:rsidRDefault="00F5504B" w:rsidP="00F5504B">
    <w:pPr>
      <w:pStyle w:val="Header"/>
      <w:spacing w:line="276" w:lineRule="auto"/>
      <w:rPr>
        <w:color w:val="FFFFFF" w:themeColor="background1"/>
        <w14:textFill>
          <w14:noFill/>
        </w14:textFill>
      </w:rPr>
    </w:pPr>
  </w:p>
  <w:p w14:paraId="10ED8392" w14:textId="77777777" w:rsidR="00F5504B" w:rsidRPr="00F5504B" w:rsidRDefault="00F5504B" w:rsidP="00F5504B">
    <w:pPr>
      <w:pStyle w:val="Header"/>
      <w:spacing w:line="276" w:lineRule="auto"/>
      <w:rPr>
        <w:color w:val="FFFFFF" w:themeColor="background1"/>
        <w14:textFill>
          <w14:noFill/>
        </w14:textFill>
      </w:rPr>
    </w:pPr>
  </w:p>
  <w:p w14:paraId="02DD3A48" w14:textId="77777777" w:rsidR="00F5504B" w:rsidRPr="00F5504B" w:rsidRDefault="00F5504B" w:rsidP="00F5504B">
    <w:pPr>
      <w:pStyle w:val="Header"/>
      <w:spacing w:line="276" w:lineRule="auto"/>
      <w:rPr>
        <w:color w:val="FFFFFF" w:themeColor="background1"/>
        <w14:textFill>
          <w14:noFill/>
        </w14:textFill>
      </w:rPr>
    </w:pPr>
  </w:p>
  <w:p w14:paraId="7C117F25" w14:textId="77777777" w:rsidR="00F5504B" w:rsidRPr="00F5504B" w:rsidRDefault="00F5504B" w:rsidP="00F5504B">
    <w:pPr>
      <w:pStyle w:val="Header"/>
      <w:spacing w:line="276" w:lineRule="auto"/>
      <w:rPr>
        <w:color w:val="FFFFFF" w:themeColor="background1"/>
        <w14:textFill>
          <w14:noFill/>
        </w14:textFill>
      </w:rPr>
    </w:pPr>
  </w:p>
  <w:p w14:paraId="4647A7FA" w14:textId="77777777" w:rsidR="00F5504B" w:rsidRDefault="00F5504B">
    <w:pPr>
      <w:pStyle w:val="Header"/>
    </w:pPr>
  </w:p>
  <w:p w14:paraId="46040433" w14:textId="77777777" w:rsidR="00E26BE8" w:rsidRDefault="00E17FE9">
    <w:pPr>
      <w:pStyle w:val="Header"/>
    </w:pPr>
    <w:r>
      <w:rPr>
        <w:noProof/>
      </w:rPr>
      <w:drawing>
        <wp:anchor distT="0" distB="0" distL="114300" distR="114300" simplePos="0" relativeHeight="251659264" behindDoc="1" locked="0" layoutInCell="1" allowOverlap="1" wp14:anchorId="0AD0792F" wp14:editId="7AC5C29B">
          <wp:simplePos x="0" y="0"/>
          <wp:positionH relativeFrom="page">
            <wp:posOffset>164</wp:posOffset>
          </wp:positionH>
          <wp:positionV relativeFrom="page">
            <wp:posOffset>0</wp:posOffset>
          </wp:positionV>
          <wp:extent cx="7761272" cy="10044000"/>
          <wp:effectExtent l="0" t="0" r="0" b="190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761272" cy="10044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A95"/>
    <w:multiLevelType w:val="hybridMultilevel"/>
    <w:tmpl w:val="6628696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E006E4"/>
    <w:multiLevelType w:val="hybridMultilevel"/>
    <w:tmpl w:val="14B24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A74CD6"/>
    <w:multiLevelType w:val="multilevel"/>
    <w:tmpl w:val="0462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23F2E"/>
    <w:multiLevelType w:val="hybridMultilevel"/>
    <w:tmpl w:val="50E6EF62"/>
    <w:lvl w:ilvl="0" w:tplc="858CD000">
      <w:start w:val="3"/>
      <w:numFmt w:val="bullet"/>
      <w:lvlText w:val=""/>
      <w:lvlJc w:val="left"/>
      <w:pPr>
        <w:ind w:left="720" w:hanging="360"/>
      </w:pPr>
      <w:rPr>
        <w:rFonts w:ascii="Symbol" w:eastAsiaTheme="minorEastAsia"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C95466"/>
    <w:multiLevelType w:val="multilevel"/>
    <w:tmpl w:val="0FAE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917A8"/>
    <w:multiLevelType w:val="hybridMultilevel"/>
    <w:tmpl w:val="103C4E4E"/>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A05522"/>
    <w:multiLevelType w:val="hybridMultilevel"/>
    <w:tmpl w:val="83FCD38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3477B37"/>
    <w:multiLevelType w:val="multilevel"/>
    <w:tmpl w:val="8AD4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515E0"/>
    <w:multiLevelType w:val="hybridMultilevel"/>
    <w:tmpl w:val="734CC68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CF2840"/>
    <w:multiLevelType w:val="multilevel"/>
    <w:tmpl w:val="D868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B65FC"/>
    <w:multiLevelType w:val="hybridMultilevel"/>
    <w:tmpl w:val="7166C70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F29481B"/>
    <w:multiLevelType w:val="hybridMultilevel"/>
    <w:tmpl w:val="BBC883C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1C1E74"/>
    <w:multiLevelType w:val="multilevel"/>
    <w:tmpl w:val="E440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D13A78"/>
    <w:multiLevelType w:val="multilevel"/>
    <w:tmpl w:val="7B64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0D74A6"/>
    <w:multiLevelType w:val="multilevel"/>
    <w:tmpl w:val="B52E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41CCD"/>
    <w:multiLevelType w:val="multilevel"/>
    <w:tmpl w:val="59C6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AC4AFE"/>
    <w:multiLevelType w:val="hybridMultilevel"/>
    <w:tmpl w:val="80023C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DA211CA"/>
    <w:multiLevelType w:val="multilevel"/>
    <w:tmpl w:val="2800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BB4BB6"/>
    <w:multiLevelType w:val="hybridMultilevel"/>
    <w:tmpl w:val="7B26E3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207A0D"/>
    <w:multiLevelType w:val="multilevel"/>
    <w:tmpl w:val="4F22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2E610B"/>
    <w:multiLevelType w:val="multilevel"/>
    <w:tmpl w:val="7272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B4650C"/>
    <w:multiLevelType w:val="multilevel"/>
    <w:tmpl w:val="B07E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3F2466"/>
    <w:multiLevelType w:val="multilevel"/>
    <w:tmpl w:val="1D20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5C7A02"/>
    <w:multiLevelType w:val="multilevel"/>
    <w:tmpl w:val="F29E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E008FF"/>
    <w:multiLevelType w:val="multilevel"/>
    <w:tmpl w:val="79F4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77451E"/>
    <w:multiLevelType w:val="hybridMultilevel"/>
    <w:tmpl w:val="A394F09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26510161">
    <w:abstractNumId w:val="18"/>
  </w:num>
  <w:num w:numId="2" w16cid:durableId="870612873">
    <w:abstractNumId w:val="0"/>
  </w:num>
  <w:num w:numId="3" w16cid:durableId="1541552615">
    <w:abstractNumId w:val="25"/>
  </w:num>
  <w:num w:numId="4" w16cid:durableId="802816206">
    <w:abstractNumId w:val="6"/>
  </w:num>
  <w:num w:numId="5" w16cid:durableId="962007244">
    <w:abstractNumId w:val="5"/>
  </w:num>
  <w:num w:numId="6" w16cid:durableId="1345596806">
    <w:abstractNumId w:val="10"/>
  </w:num>
  <w:num w:numId="7" w16cid:durableId="1893731619">
    <w:abstractNumId w:val="8"/>
  </w:num>
  <w:num w:numId="8" w16cid:durableId="1848862669">
    <w:abstractNumId w:val="11"/>
  </w:num>
  <w:num w:numId="9" w16cid:durableId="1878350114">
    <w:abstractNumId w:val="3"/>
  </w:num>
  <w:num w:numId="10" w16cid:durableId="1728602334">
    <w:abstractNumId w:val="1"/>
  </w:num>
  <w:num w:numId="11" w16cid:durableId="1148670969">
    <w:abstractNumId w:val="16"/>
  </w:num>
  <w:num w:numId="12" w16cid:durableId="2140341278">
    <w:abstractNumId w:val="15"/>
  </w:num>
  <w:num w:numId="13" w16cid:durableId="762721733">
    <w:abstractNumId w:val="7"/>
  </w:num>
  <w:num w:numId="14" w16cid:durableId="78717251">
    <w:abstractNumId w:val="22"/>
  </w:num>
  <w:num w:numId="15" w16cid:durableId="1647664405">
    <w:abstractNumId w:val="13"/>
  </w:num>
  <w:num w:numId="16" w16cid:durableId="2092700301">
    <w:abstractNumId w:val="12"/>
  </w:num>
  <w:num w:numId="17" w16cid:durableId="532033719">
    <w:abstractNumId w:val="21"/>
  </w:num>
  <w:num w:numId="18" w16cid:durableId="451091115">
    <w:abstractNumId w:val="2"/>
  </w:num>
  <w:num w:numId="19" w16cid:durableId="1602294204">
    <w:abstractNumId w:val="14"/>
  </w:num>
  <w:num w:numId="20" w16cid:durableId="1304694936">
    <w:abstractNumId w:val="4"/>
  </w:num>
  <w:num w:numId="21" w16cid:durableId="1751728764">
    <w:abstractNumId w:val="17"/>
  </w:num>
  <w:num w:numId="22" w16cid:durableId="630551812">
    <w:abstractNumId w:val="19"/>
  </w:num>
  <w:num w:numId="23" w16cid:durableId="52781289">
    <w:abstractNumId w:val="20"/>
  </w:num>
  <w:num w:numId="24" w16cid:durableId="2123957552">
    <w:abstractNumId w:val="23"/>
  </w:num>
  <w:num w:numId="25" w16cid:durableId="140656690">
    <w:abstractNumId w:val="9"/>
  </w:num>
  <w:num w:numId="26" w16cid:durableId="151337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03"/>
    <w:rsid w:val="000012B0"/>
    <w:rsid w:val="00006727"/>
    <w:rsid w:val="00016FC4"/>
    <w:rsid w:val="0003076E"/>
    <w:rsid w:val="000363E3"/>
    <w:rsid w:val="0004371F"/>
    <w:rsid w:val="00044223"/>
    <w:rsid w:val="00051A85"/>
    <w:rsid w:val="00052221"/>
    <w:rsid w:val="00095077"/>
    <w:rsid w:val="00095A37"/>
    <w:rsid w:val="000A3403"/>
    <w:rsid w:val="000A6ED5"/>
    <w:rsid w:val="000B4645"/>
    <w:rsid w:val="000B5A97"/>
    <w:rsid w:val="000D139A"/>
    <w:rsid w:val="000E7C4C"/>
    <w:rsid w:val="00101BC5"/>
    <w:rsid w:val="00107DAE"/>
    <w:rsid w:val="00120CC3"/>
    <w:rsid w:val="00123401"/>
    <w:rsid w:val="00124C46"/>
    <w:rsid w:val="0013210B"/>
    <w:rsid w:val="00133BAF"/>
    <w:rsid w:val="001458FF"/>
    <w:rsid w:val="00145C1F"/>
    <w:rsid w:val="00153269"/>
    <w:rsid w:val="001545B9"/>
    <w:rsid w:val="00183873"/>
    <w:rsid w:val="001850FC"/>
    <w:rsid w:val="00195679"/>
    <w:rsid w:val="001A1CC3"/>
    <w:rsid w:val="001D42C2"/>
    <w:rsid w:val="001D4D6E"/>
    <w:rsid w:val="001E1DB8"/>
    <w:rsid w:val="0020317D"/>
    <w:rsid w:val="00203C93"/>
    <w:rsid w:val="00212046"/>
    <w:rsid w:val="0021217F"/>
    <w:rsid w:val="00215A16"/>
    <w:rsid w:val="00221700"/>
    <w:rsid w:val="00221F4D"/>
    <w:rsid w:val="00243DAF"/>
    <w:rsid w:val="0024511F"/>
    <w:rsid w:val="002452EC"/>
    <w:rsid w:val="00245AC8"/>
    <w:rsid w:val="00274D9A"/>
    <w:rsid w:val="0028260F"/>
    <w:rsid w:val="002870D6"/>
    <w:rsid w:val="00287D01"/>
    <w:rsid w:val="002935A3"/>
    <w:rsid w:val="002A6DB2"/>
    <w:rsid w:val="002D0D2E"/>
    <w:rsid w:val="002D6496"/>
    <w:rsid w:val="002E1DFD"/>
    <w:rsid w:val="002E5475"/>
    <w:rsid w:val="002F030E"/>
    <w:rsid w:val="002F268C"/>
    <w:rsid w:val="002F3397"/>
    <w:rsid w:val="002F7639"/>
    <w:rsid w:val="00312F8B"/>
    <w:rsid w:val="00332170"/>
    <w:rsid w:val="00334987"/>
    <w:rsid w:val="00345903"/>
    <w:rsid w:val="003525F2"/>
    <w:rsid w:val="0036361D"/>
    <w:rsid w:val="0037669D"/>
    <w:rsid w:val="00376D88"/>
    <w:rsid w:val="00382FE8"/>
    <w:rsid w:val="00385EA7"/>
    <w:rsid w:val="00391E09"/>
    <w:rsid w:val="003A61D3"/>
    <w:rsid w:val="003A6FB3"/>
    <w:rsid w:val="003C253A"/>
    <w:rsid w:val="003C4D05"/>
    <w:rsid w:val="003F759D"/>
    <w:rsid w:val="004238F2"/>
    <w:rsid w:val="004244E7"/>
    <w:rsid w:val="004265BD"/>
    <w:rsid w:val="004339EE"/>
    <w:rsid w:val="004340A2"/>
    <w:rsid w:val="004412C2"/>
    <w:rsid w:val="00447190"/>
    <w:rsid w:val="00450EAE"/>
    <w:rsid w:val="00487BAA"/>
    <w:rsid w:val="004B0968"/>
    <w:rsid w:val="004B6EC6"/>
    <w:rsid w:val="004B716E"/>
    <w:rsid w:val="004B7E4E"/>
    <w:rsid w:val="004C19EA"/>
    <w:rsid w:val="004C5039"/>
    <w:rsid w:val="004C5EC0"/>
    <w:rsid w:val="004D3EE6"/>
    <w:rsid w:val="004D6CE8"/>
    <w:rsid w:val="004F0D85"/>
    <w:rsid w:val="005033AE"/>
    <w:rsid w:val="0050784A"/>
    <w:rsid w:val="00511088"/>
    <w:rsid w:val="0052432F"/>
    <w:rsid w:val="005254BD"/>
    <w:rsid w:val="005445D2"/>
    <w:rsid w:val="00551712"/>
    <w:rsid w:val="005541E8"/>
    <w:rsid w:val="0055703C"/>
    <w:rsid w:val="0056011A"/>
    <w:rsid w:val="005629DB"/>
    <w:rsid w:val="00563F6F"/>
    <w:rsid w:val="005B3669"/>
    <w:rsid w:val="005B42E4"/>
    <w:rsid w:val="005B63E2"/>
    <w:rsid w:val="005D12A1"/>
    <w:rsid w:val="005E4B98"/>
    <w:rsid w:val="006156C7"/>
    <w:rsid w:val="00626227"/>
    <w:rsid w:val="00653985"/>
    <w:rsid w:val="00664EB1"/>
    <w:rsid w:val="00675E89"/>
    <w:rsid w:val="006765B0"/>
    <w:rsid w:val="00677813"/>
    <w:rsid w:val="006863D3"/>
    <w:rsid w:val="00697969"/>
    <w:rsid w:val="006C0BE9"/>
    <w:rsid w:val="006C0DD3"/>
    <w:rsid w:val="006C59F4"/>
    <w:rsid w:val="006D50B0"/>
    <w:rsid w:val="006E4FAF"/>
    <w:rsid w:val="006E6C55"/>
    <w:rsid w:val="006F2375"/>
    <w:rsid w:val="00707E04"/>
    <w:rsid w:val="007136F2"/>
    <w:rsid w:val="00715B9B"/>
    <w:rsid w:val="007242A7"/>
    <w:rsid w:val="0073088B"/>
    <w:rsid w:val="00745DBD"/>
    <w:rsid w:val="00745FF1"/>
    <w:rsid w:val="0076679A"/>
    <w:rsid w:val="0077512A"/>
    <w:rsid w:val="00790F2B"/>
    <w:rsid w:val="00794B78"/>
    <w:rsid w:val="007A5D45"/>
    <w:rsid w:val="007B0B4D"/>
    <w:rsid w:val="007D7AC2"/>
    <w:rsid w:val="007E2675"/>
    <w:rsid w:val="007E3B3A"/>
    <w:rsid w:val="008038CB"/>
    <w:rsid w:val="008152D7"/>
    <w:rsid w:val="0082415C"/>
    <w:rsid w:val="008476CC"/>
    <w:rsid w:val="00850D66"/>
    <w:rsid w:val="00857776"/>
    <w:rsid w:val="00860E88"/>
    <w:rsid w:val="0086326F"/>
    <w:rsid w:val="00871BCA"/>
    <w:rsid w:val="008721E8"/>
    <w:rsid w:val="00877C49"/>
    <w:rsid w:val="00882412"/>
    <w:rsid w:val="00884E1E"/>
    <w:rsid w:val="008A019C"/>
    <w:rsid w:val="008A524D"/>
    <w:rsid w:val="008C7393"/>
    <w:rsid w:val="008E0BCE"/>
    <w:rsid w:val="008E268F"/>
    <w:rsid w:val="008E75CD"/>
    <w:rsid w:val="00922251"/>
    <w:rsid w:val="009261A4"/>
    <w:rsid w:val="00926E1E"/>
    <w:rsid w:val="00926F2A"/>
    <w:rsid w:val="00931613"/>
    <w:rsid w:val="0093312E"/>
    <w:rsid w:val="009362BA"/>
    <w:rsid w:val="0093646A"/>
    <w:rsid w:val="00937902"/>
    <w:rsid w:val="0094356B"/>
    <w:rsid w:val="00955DE1"/>
    <w:rsid w:val="00955EFA"/>
    <w:rsid w:val="00956F24"/>
    <w:rsid w:val="0096598C"/>
    <w:rsid w:val="009708E1"/>
    <w:rsid w:val="00973E9D"/>
    <w:rsid w:val="00974937"/>
    <w:rsid w:val="00980185"/>
    <w:rsid w:val="009915B1"/>
    <w:rsid w:val="009A33C5"/>
    <w:rsid w:val="009B401F"/>
    <w:rsid w:val="009B7C3E"/>
    <w:rsid w:val="009C06DB"/>
    <w:rsid w:val="009D7684"/>
    <w:rsid w:val="009F74A6"/>
    <w:rsid w:val="00A0149E"/>
    <w:rsid w:val="00A1351A"/>
    <w:rsid w:val="00A305BF"/>
    <w:rsid w:val="00A31B81"/>
    <w:rsid w:val="00A4488F"/>
    <w:rsid w:val="00A44FF5"/>
    <w:rsid w:val="00A741B5"/>
    <w:rsid w:val="00A7562D"/>
    <w:rsid w:val="00A76CDC"/>
    <w:rsid w:val="00A87157"/>
    <w:rsid w:val="00AB2DC0"/>
    <w:rsid w:val="00AB4E35"/>
    <w:rsid w:val="00AB6433"/>
    <w:rsid w:val="00AD2C66"/>
    <w:rsid w:val="00AD7B58"/>
    <w:rsid w:val="00AE0046"/>
    <w:rsid w:val="00AE4104"/>
    <w:rsid w:val="00B00256"/>
    <w:rsid w:val="00B05569"/>
    <w:rsid w:val="00B06358"/>
    <w:rsid w:val="00B214FF"/>
    <w:rsid w:val="00B2186E"/>
    <w:rsid w:val="00B22447"/>
    <w:rsid w:val="00B24BFA"/>
    <w:rsid w:val="00B27637"/>
    <w:rsid w:val="00B33BAD"/>
    <w:rsid w:val="00B33E91"/>
    <w:rsid w:val="00B4742E"/>
    <w:rsid w:val="00B61574"/>
    <w:rsid w:val="00B65270"/>
    <w:rsid w:val="00B652BF"/>
    <w:rsid w:val="00B65913"/>
    <w:rsid w:val="00B75BBD"/>
    <w:rsid w:val="00B77328"/>
    <w:rsid w:val="00B969EF"/>
    <w:rsid w:val="00B96B7F"/>
    <w:rsid w:val="00BC6838"/>
    <w:rsid w:val="00BD2542"/>
    <w:rsid w:val="00BF6AFC"/>
    <w:rsid w:val="00C26C02"/>
    <w:rsid w:val="00C32B7F"/>
    <w:rsid w:val="00C3377C"/>
    <w:rsid w:val="00C510AD"/>
    <w:rsid w:val="00C6641A"/>
    <w:rsid w:val="00C80069"/>
    <w:rsid w:val="00C851E7"/>
    <w:rsid w:val="00CA1A7C"/>
    <w:rsid w:val="00CA6FD0"/>
    <w:rsid w:val="00CA79B8"/>
    <w:rsid w:val="00CD65A3"/>
    <w:rsid w:val="00CD69DA"/>
    <w:rsid w:val="00CD7AF2"/>
    <w:rsid w:val="00CE3B5F"/>
    <w:rsid w:val="00D0183C"/>
    <w:rsid w:val="00D053E7"/>
    <w:rsid w:val="00D06BF6"/>
    <w:rsid w:val="00D1391B"/>
    <w:rsid w:val="00D17E68"/>
    <w:rsid w:val="00D25CCE"/>
    <w:rsid w:val="00D33818"/>
    <w:rsid w:val="00D33C65"/>
    <w:rsid w:val="00D421DB"/>
    <w:rsid w:val="00D5141E"/>
    <w:rsid w:val="00D577D1"/>
    <w:rsid w:val="00D6394A"/>
    <w:rsid w:val="00D8380D"/>
    <w:rsid w:val="00D86642"/>
    <w:rsid w:val="00D878B2"/>
    <w:rsid w:val="00D919D1"/>
    <w:rsid w:val="00D94FD3"/>
    <w:rsid w:val="00DB181B"/>
    <w:rsid w:val="00DC5990"/>
    <w:rsid w:val="00DD393A"/>
    <w:rsid w:val="00DE57DA"/>
    <w:rsid w:val="00E00FED"/>
    <w:rsid w:val="00E035C1"/>
    <w:rsid w:val="00E137E6"/>
    <w:rsid w:val="00E17FE9"/>
    <w:rsid w:val="00E26BE8"/>
    <w:rsid w:val="00E36778"/>
    <w:rsid w:val="00E36EFF"/>
    <w:rsid w:val="00E379FD"/>
    <w:rsid w:val="00E44947"/>
    <w:rsid w:val="00E551E2"/>
    <w:rsid w:val="00E65629"/>
    <w:rsid w:val="00E700D8"/>
    <w:rsid w:val="00E749B0"/>
    <w:rsid w:val="00E74D1B"/>
    <w:rsid w:val="00E820D8"/>
    <w:rsid w:val="00E829B8"/>
    <w:rsid w:val="00E8501A"/>
    <w:rsid w:val="00E87F96"/>
    <w:rsid w:val="00E9194F"/>
    <w:rsid w:val="00E9610B"/>
    <w:rsid w:val="00E97CBF"/>
    <w:rsid w:val="00EA5039"/>
    <w:rsid w:val="00EB5C11"/>
    <w:rsid w:val="00EC26BE"/>
    <w:rsid w:val="00ED0D91"/>
    <w:rsid w:val="00ED0DBA"/>
    <w:rsid w:val="00ED3A0B"/>
    <w:rsid w:val="00EE342E"/>
    <w:rsid w:val="00EE5450"/>
    <w:rsid w:val="00EF045B"/>
    <w:rsid w:val="00EF196E"/>
    <w:rsid w:val="00F23434"/>
    <w:rsid w:val="00F23B88"/>
    <w:rsid w:val="00F252DA"/>
    <w:rsid w:val="00F27CEA"/>
    <w:rsid w:val="00F532EF"/>
    <w:rsid w:val="00F5504B"/>
    <w:rsid w:val="00F56009"/>
    <w:rsid w:val="00F574A9"/>
    <w:rsid w:val="00F57E54"/>
    <w:rsid w:val="00F6159E"/>
    <w:rsid w:val="00F632E1"/>
    <w:rsid w:val="00F67577"/>
    <w:rsid w:val="00F73F55"/>
    <w:rsid w:val="00F74819"/>
    <w:rsid w:val="00F84295"/>
    <w:rsid w:val="00F94B35"/>
    <w:rsid w:val="00FA0D14"/>
    <w:rsid w:val="00FA1664"/>
    <w:rsid w:val="00FA36D9"/>
    <w:rsid w:val="00FB46BC"/>
    <w:rsid w:val="00FC6816"/>
    <w:rsid w:val="00FC7C38"/>
    <w:rsid w:val="00FE58C3"/>
    <w:rsid w:val="00FF0AA3"/>
    <w:rsid w:val="00FF26E6"/>
    <w:rsid w:val="00FF55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9C3AD"/>
  <w15:chartTrackingRefBased/>
  <w15:docId w15:val="{6F6B38D3-C120-4C39-8EBD-FF3076D0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82F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222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D69D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E89"/>
    <w:pPr>
      <w:tabs>
        <w:tab w:val="center" w:pos="4680"/>
        <w:tab w:val="right" w:pos="9360"/>
      </w:tabs>
    </w:pPr>
  </w:style>
  <w:style w:type="character" w:customStyle="1" w:styleId="HeaderChar">
    <w:name w:val="Header Char"/>
    <w:basedOn w:val="DefaultParagraphFont"/>
    <w:link w:val="Header"/>
    <w:uiPriority w:val="99"/>
    <w:rsid w:val="00675E89"/>
    <w:rPr>
      <w:rFonts w:eastAsiaTheme="minorEastAsia"/>
    </w:rPr>
  </w:style>
  <w:style w:type="paragraph" w:styleId="Footer">
    <w:name w:val="footer"/>
    <w:basedOn w:val="Normal"/>
    <w:link w:val="FooterChar"/>
    <w:uiPriority w:val="99"/>
    <w:unhideWhenUsed/>
    <w:rsid w:val="00675E89"/>
    <w:pPr>
      <w:tabs>
        <w:tab w:val="center" w:pos="4680"/>
        <w:tab w:val="right" w:pos="9360"/>
      </w:tabs>
    </w:pPr>
  </w:style>
  <w:style w:type="character" w:customStyle="1" w:styleId="FooterChar">
    <w:name w:val="Footer Char"/>
    <w:basedOn w:val="DefaultParagraphFont"/>
    <w:link w:val="Footer"/>
    <w:uiPriority w:val="99"/>
    <w:rsid w:val="00675E89"/>
    <w:rPr>
      <w:rFonts w:eastAsiaTheme="minorEastAsia"/>
    </w:rPr>
  </w:style>
  <w:style w:type="character" w:customStyle="1" w:styleId="Heading1Char">
    <w:name w:val="Heading 1 Char"/>
    <w:basedOn w:val="DefaultParagraphFont"/>
    <w:link w:val="Heading1"/>
    <w:uiPriority w:val="9"/>
    <w:rsid w:val="00382FE8"/>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B05569"/>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221F4D"/>
  </w:style>
  <w:style w:type="paragraph" w:styleId="ListParagraph">
    <w:name w:val="List Paragraph"/>
    <w:basedOn w:val="Normal"/>
    <w:uiPriority w:val="34"/>
    <w:qFormat/>
    <w:rsid w:val="00F23B88"/>
    <w:pPr>
      <w:ind w:left="720"/>
      <w:contextualSpacing/>
    </w:pPr>
  </w:style>
  <w:style w:type="character" w:styleId="Hyperlink">
    <w:name w:val="Hyperlink"/>
    <w:basedOn w:val="DefaultParagraphFont"/>
    <w:uiPriority w:val="99"/>
    <w:unhideWhenUsed/>
    <w:rsid w:val="00E829B8"/>
    <w:rPr>
      <w:color w:val="0563C1" w:themeColor="hyperlink"/>
      <w:u w:val="single"/>
    </w:rPr>
  </w:style>
  <w:style w:type="character" w:styleId="UnresolvedMention">
    <w:name w:val="Unresolved Mention"/>
    <w:basedOn w:val="DefaultParagraphFont"/>
    <w:uiPriority w:val="99"/>
    <w:semiHidden/>
    <w:unhideWhenUsed/>
    <w:rsid w:val="00E829B8"/>
    <w:rPr>
      <w:color w:val="605E5C"/>
      <w:shd w:val="clear" w:color="auto" w:fill="E1DFDD"/>
    </w:rPr>
  </w:style>
  <w:style w:type="paragraph" w:styleId="Revision">
    <w:name w:val="Revision"/>
    <w:hidden/>
    <w:uiPriority w:val="99"/>
    <w:semiHidden/>
    <w:rsid w:val="00707E04"/>
    <w:rPr>
      <w:rFonts w:eastAsiaTheme="minorEastAsia"/>
    </w:rPr>
  </w:style>
  <w:style w:type="character" w:customStyle="1" w:styleId="Heading2Char">
    <w:name w:val="Heading 2 Char"/>
    <w:basedOn w:val="DefaultParagraphFont"/>
    <w:link w:val="Heading2"/>
    <w:uiPriority w:val="9"/>
    <w:semiHidden/>
    <w:rsid w:val="009222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D69D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489743">
      <w:bodyDiv w:val="1"/>
      <w:marLeft w:val="0"/>
      <w:marRight w:val="0"/>
      <w:marTop w:val="0"/>
      <w:marBottom w:val="0"/>
      <w:divBdr>
        <w:top w:val="none" w:sz="0" w:space="0" w:color="auto"/>
        <w:left w:val="none" w:sz="0" w:space="0" w:color="auto"/>
        <w:bottom w:val="none" w:sz="0" w:space="0" w:color="auto"/>
        <w:right w:val="none" w:sz="0" w:space="0" w:color="auto"/>
      </w:divBdr>
    </w:div>
    <w:div w:id="1806044457">
      <w:bodyDiv w:val="1"/>
      <w:marLeft w:val="0"/>
      <w:marRight w:val="0"/>
      <w:marTop w:val="0"/>
      <w:marBottom w:val="0"/>
      <w:divBdr>
        <w:top w:val="none" w:sz="0" w:space="0" w:color="auto"/>
        <w:left w:val="none" w:sz="0" w:space="0" w:color="auto"/>
        <w:bottom w:val="none" w:sz="0" w:space="0" w:color="auto"/>
        <w:right w:val="none" w:sz="0" w:space="0" w:color="auto"/>
      </w:divBdr>
    </w:div>
    <w:div w:id="19385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la.ca/wp-content/uploads/2025/03/2024-11-22-FOLA-Response-to-HRTO-Consultation.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an.hu@fola.ca"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jud\OneDrive\Community%20Involvement\FOLA%20-%20NW%20Regional%20Rep\_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B13EF-9C09-DE4E-B8EA-BEA296D6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Letterhead.dotx</Template>
  <TotalTime>71</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 Judson</dc:creator>
  <cp:keywords/>
  <dc:description/>
  <cp:lastModifiedBy>Ian Hu</cp:lastModifiedBy>
  <cp:revision>71</cp:revision>
  <cp:lastPrinted>2022-08-31T16:02:00Z</cp:lastPrinted>
  <dcterms:created xsi:type="dcterms:W3CDTF">2024-11-22T21:23:00Z</dcterms:created>
  <dcterms:modified xsi:type="dcterms:W3CDTF">2026-06-01T16:44:00Z</dcterms:modified>
</cp:coreProperties>
</file>